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48"/>
          <w:szCs w:val="48"/>
        </w:rPr>
      </w:pPr>
    </w:p>
    <w:p>
      <w:pPr>
        <w:spacing w:line="360" w:lineRule="auto"/>
        <w:jc w:val="center"/>
        <w:rPr>
          <w:b/>
          <w:sz w:val="56"/>
          <w:szCs w:val="56"/>
        </w:rPr>
      </w:pPr>
      <w:r>
        <w:rPr>
          <w:rFonts w:hint="eastAsia"/>
          <w:b/>
          <w:sz w:val="56"/>
          <w:szCs w:val="56"/>
        </w:rPr>
        <w:t>首都金融法讯周刊</w:t>
      </w:r>
    </w:p>
    <w:p>
      <w:pPr>
        <w:spacing w:line="360" w:lineRule="auto"/>
        <w:jc w:val="center"/>
        <w:rPr>
          <w:b/>
          <w:sz w:val="56"/>
          <w:szCs w:val="56"/>
        </w:rPr>
      </w:pPr>
      <w:r>
        <w:rPr>
          <w:rFonts w:hint="eastAsia"/>
          <w:b/>
          <w:sz w:val="56"/>
          <w:szCs w:val="56"/>
        </w:rPr>
        <w:t>（2017.12.30-2018.1.5）</w:t>
      </w:r>
    </w:p>
    <w:p>
      <w:pPr>
        <w:spacing w:line="360" w:lineRule="auto"/>
        <w:jc w:val="center"/>
        <w:rPr>
          <w:b/>
          <w:sz w:val="56"/>
          <w:szCs w:val="56"/>
        </w:rPr>
      </w:pPr>
      <w:r>
        <w:rPr>
          <w:rFonts w:hint="eastAsia"/>
          <w:b/>
          <w:sz w:val="56"/>
          <w:szCs w:val="56"/>
        </w:rPr>
        <w:t>（第1期）</w:t>
      </w:r>
    </w:p>
    <w:p>
      <w:pPr>
        <w:spacing w:line="360" w:lineRule="auto"/>
        <w:jc w:val="center"/>
        <w:rPr>
          <w:sz w:val="56"/>
          <w:szCs w:val="56"/>
        </w:rPr>
      </w:pPr>
    </w:p>
    <w:p>
      <w:pPr>
        <w:spacing w:line="360" w:lineRule="auto"/>
        <w:jc w:val="center"/>
        <w:rPr>
          <w:sz w:val="56"/>
          <w:szCs w:val="56"/>
        </w:rPr>
      </w:pPr>
    </w:p>
    <w:p>
      <w:pPr>
        <w:spacing w:line="360" w:lineRule="auto"/>
        <w:jc w:val="center"/>
        <w:rPr>
          <w:sz w:val="56"/>
          <w:szCs w:val="56"/>
        </w:rPr>
      </w:pPr>
    </w:p>
    <w:p>
      <w:pPr>
        <w:spacing w:line="360" w:lineRule="auto"/>
        <w:jc w:val="center"/>
        <w:rPr>
          <w:sz w:val="56"/>
          <w:szCs w:val="56"/>
        </w:rPr>
      </w:pPr>
    </w:p>
    <w:p>
      <w:pPr>
        <w:spacing w:line="360" w:lineRule="auto"/>
        <w:jc w:val="center"/>
        <w:rPr>
          <w:sz w:val="56"/>
          <w:szCs w:val="56"/>
        </w:rPr>
      </w:pPr>
    </w:p>
    <w:p>
      <w:pPr>
        <w:spacing w:line="360" w:lineRule="auto"/>
        <w:jc w:val="center"/>
        <w:rPr>
          <w:sz w:val="56"/>
          <w:szCs w:val="56"/>
        </w:rPr>
      </w:pPr>
    </w:p>
    <w:p>
      <w:pPr>
        <w:spacing w:line="360" w:lineRule="auto"/>
        <w:jc w:val="center"/>
        <w:rPr>
          <w:b/>
          <w:sz w:val="48"/>
          <w:szCs w:val="48"/>
        </w:rPr>
      </w:pPr>
    </w:p>
    <w:p>
      <w:pPr>
        <w:spacing w:line="360" w:lineRule="auto"/>
        <w:jc w:val="center"/>
        <w:rPr>
          <w:b/>
          <w:sz w:val="48"/>
          <w:szCs w:val="48"/>
        </w:rPr>
      </w:pPr>
    </w:p>
    <w:p>
      <w:pPr>
        <w:spacing w:line="360" w:lineRule="auto"/>
        <w:jc w:val="center"/>
        <w:rPr>
          <w:b/>
          <w:sz w:val="48"/>
          <w:szCs w:val="48"/>
        </w:rPr>
      </w:pPr>
    </w:p>
    <w:p>
      <w:pPr>
        <w:spacing w:line="360" w:lineRule="auto"/>
        <w:jc w:val="center"/>
        <w:rPr>
          <w:b/>
          <w:sz w:val="48"/>
          <w:szCs w:val="48"/>
        </w:rPr>
      </w:pPr>
      <w:r>
        <w:rPr>
          <w:rFonts w:hint="eastAsia"/>
          <w:b/>
          <w:sz w:val="48"/>
          <w:szCs w:val="48"/>
        </w:rPr>
        <w:t>北京市中永律师事务所</w:t>
      </w:r>
    </w:p>
    <w:p>
      <w:pPr>
        <w:spacing w:line="360" w:lineRule="auto"/>
        <w:jc w:val="center"/>
        <w:rPr>
          <w:b/>
          <w:sz w:val="48"/>
          <w:szCs w:val="48"/>
        </w:rPr>
      </w:pPr>
    </w:p>
    <w:p>
      <w:pPr>
        <w:pStyle w:val="6"/>
        <w:ind w:left="98" w:leftChars="41"/>
        <w:jc w:val="center"/>
      </w:pPr>
      <w:r>
        <w:rPr>
          <w:rFonts w:hint="eastAsia"/>
        </w:rPr>
        <w:t>2018年</w:t>
      </w:r>
    </w:p>
    <w:p>
      <w:pPr>
        <w:spacing w:line="360" w:lineRule="auto"/>
        <w:rPr>
          <w:b/>
          <w:sz w:val="48"/>
          <w:szCs w:val="48"/>
        </w:rPr>
      </w:pPr>
    </w:p>
    <w:p>
      <w:pPr>
        <w:spacing w:line="360" w:lineRule="auto"/>
        <w:jc w:val="center"/>
        <w:rPr>
          <w:b/>
          <w:sz w:val="28"/>
          <w:szCs w:val="28"/>
        </w:rPr>
        <w:sectPr>
          <w:pgSz w:w="11900" w:h="16840"/>
          <w:pgMar w:top="1440" w:right="1800" w:bottom="1440" w:left="1800" w:header="851" w:footer="992" w:gutter="0"/>
          <w:pgNumType w:start="1"/>
          <w:cols w:space="425" w:num="1"/>
          <w:docGrid w:type="lines" w:linePitch="312" w:charSpace="0"/>
        </w:sectPr>
      </w:pPr>
    </w:p>
    <w:p>
      <w:pPr>
        <w:spacing w:line="360" w:lineRule="auto"/>
        <w:jc w:val="center"/>
        <w:rPr>
          <w:b/>
          <w:sz w:val="28"/>
          <w:szCs w:val="28"/>
        </w:rPr>
      </w:pPr>
      <w:r>
        <w:rPr>
          <w:rFonts w:hint="eastAsia"/>
          <w:b/>
          <w:sz w:val="28"/>
          <w:szCs w:val="28"/>
        </w:rPr>
        <w:t>首都金融法讯周刊</w:t>
      </w:r>
    </w:p>
    <w:p>
      <w:pPr>
        <w:pStyle w:val="9"/>
        <w:tabs>
          <w:tab w:val="right" w:leader="hyphen" w:pos="8300"/>
        </w:tabs>
      </w:pPr>
    </w:p>
    <w:p>
      <w:pPr>
        <w:pStyle w:val="9"/>
        <w:tabs>
          <w:tab w:val="right" w:leader="hyphen" w:pos="8300"/>
        </w:tabs>
      </w:pPr>
    </w:p>
    <w:p>
      <w:pPr>
        <w:pStyle w:val="9"/>
        <w:tabs>
          <w:tab w:val="right" w:leader="hyphen" w:pos="8300"/>
        </w:tabs>
        <w:adjustRightInd w:val="0"/>
        <w:snapToGrid w:val="0"/>
        <w:spacing w:line="480" w:lineRule="auto"/>
        <w:outlineLvl w:val="0"/>
        <w:rPr>
          <w:b/>
          <w:bCs/>
        </w:rPr>
      </w:pPr>
      <w:r>
        <w:rPr>
          <w:rFonts w:hint="eastAsia"/>
        </w:rPr>
        <w:fldChar w:fldCharType="begin"/>
      </w:r>
      <w:r>
        <w:rPr>
          <w:rFonts w:hint="eastAsia"/>
        </w:rPr>
        <w:instrText xml:space="preserve">TOC \o "1-3" \h \u </w:instrText>
      </w:r>
      <w:r>
        <w:rPr>
          <w:rFonts w:hint="eastAsia"/>
        </w:rPr>
        <w:fldChar w:fldCharType="separate"/>
      </w:r>
      <w:r>
        <w:fldChar w:fldCharType="begin"/>
      </w:r>
      <w:r>
        <w:instrText xml:space="preserve"> HYPERLINK \l "_Toc26068" </w:instrText>
      </w:r>
      <w:r>
        <w:fldChar w:fldCharType="separate"/>
      </w:r>
      <w:r>
        <w:rPr>
          <w:rFonts w:hint="eastAsia"/>
          <w:b/>
          <w:bCs/>
        </w:rPr>
        <w:t>1. 金融大政</w:t>
      </w:r>
      <w:r>
        <w:rPr>
          <w:rFonts w:hint="eastAsia"/>
          <w:b/>
          <w:bCs/>
        </w:rPr>
        <w:fldChar w:fldCharType="end"/>
      </w:r>
    </w:p>
    <w:p>
      <w:pPr>
        <w:pStyle w:val="10"/>
        <w:tabs>
          <w:tab w:val="right" w:leader="hyphen" w:pos="8300"/>
        </w:tabs>
        <w:adjustRightInd w:val="0"/>
        <w:snapToGrid w:val="0"/>
        <w:spacing w:line="480" w:lineRule="auto"/>
        <w:ind w:left="480"/>
        <w:outlineLvl w:val="1"/>
        <w:rPr>
          <w:rFonts w:asciiTheme="minorEastAsia" w:hAnsiTheme="minorEastAsia" w:cstheme="minorEastAsia"/>
        </w:rPr>
      </w:pPr>
      <w:r>
        <w:rPr>
          <w:rFonts w:hint="eastAsia" w:asciiTheme="minorEastAsia" w:hAnsiTheme="minorEastAsia" w:cstheme="minorEastAsia"/>
          <w:color w:val="auto"/>
          <w:u w:val="none"/>
        </w:rPr>
        <w:fldChar w:fldCharType="begin"/>
      </w:r>
      <w:r>
        <w:rPr>
          <w:rFonts w:hint="eastAsia" w:asciiTheme="minorEastAsia" w:hAnsiTheme="minorEastAsia" w:cstheme="minorEastAsia"/>
          <w:color w:val="auto"/>
          <w:u w:val="none"/>
        </w:rPr>
        <w:instrText xml:space="preserve"> HYPERLINK \l "习近平在党的十九届一中全会上的讲话" </w:instrText>
      </w:r>
      <w:r>
        <w:rPr>
          <w:rFonts w:hint="eastAsia" w:asciiTheme="minorEastAsia" w:hAnsiTheme="minorEastAsia" w:cstheme="minorEastAsia"/>
          <w:color w:val="auto"/>
          <w:u w:val="none"/>
        </w:rPr>
        <w:fldChar w:fldCharType="separate"/>
      </w:r>
      <w:r>
        <w:rPr>
          <w:rStyle w:val="16"/>
          <w:rFonts w:hint="eastAsia" w:asciiTheme="minorEastAsia" w:hAnsiTheme="minorEastAsia" w:cstheme="minorEastAsia"/>
        </w:rPr>
        <w:t>1.1  习近平在党的十九届一中全会上的讲话</w:t>
      </w:r>
      <w:r>
        <w:rPr>
          <w:rStyle w:val="16"/>
          <w:rFonts w:hint="eastAsia" w:asciiTheme="minorEastAsia" w:hAnsiTheme="minorEastAsia" w:cstheme="minorEastAsia"/>
        </w:rPr>
        <w:tab/>
      </w:r>
      <w:r>
        <w:rPr>
          <w:rStyle w:val="16"/>
          <w:rFonts w:hint="eastAsia" w:asciiTheme="minorEastAsia" w:hAnsiTheme="minorEastAsia" w:cstheme="minorEastAsia"/>
        </w:rPr>
        <w:t>1</w:t>
      </w:r>
      <w:r>
        <w:rPr>
          <w:rFonts w:hint="eastAsia" w:asciiTheme="minorEastAsia" w:hAnsiTheme="minorEastAsia" w:cstheme="minorEastAsia"/>
          <w:color w:val="auto"/>
          <w:u w:val="none"/>
        </w:rPr>
        <w:fldChar w:fldCharType="end"/>
      </w:r>
    </w:p>
    <w:p>
      <w:pPr>
        <w:pStyle w:val="10"/>
        <w:tabs>
          <w:tab w:val="right" w:leader="hyphen" w:pos="8300"/>
        </w:tabs>
        <w:adjustRightInd w:val="0"/>
        <w:snapToGrid w:val="0"/>
        <w:spacing w:line="480" w:lineRule="auto"/>
        <w:ind w:left="480"/>
        <w:outlineLvl w:val="1"/>
        <w:rPr>
          <w:rFonts w:asciiTheme="minorEastAsia" w:hAnsiTheme="minorEastAsia" w:cstheme="minorEastAsia"/>
        </w:rPr>
      </w:pPr>
      <w:r>
        <w:rPr>
          <w:rFonts w:hint="eastAsia" w:asciiTheme="minorEastAsia" w:hAnsiTheme="minorEastAsia" w:cstheme="minorEastAsia"/>
          <w:color w:val="auto"/>
          <w:u w:val="none"/>
        </w:rPr>
        <w:fldChar w:fldCharType="begin"/>
      </w:r>
      <w:r>
        <w:rPr>
          <w:rFonts w:hint="eastAsia" w:asciiTheme="minorEastAsia" w:hAnsiTheme="minorEastAsia" w:cstheme="minorEastAsia"/>
          <w:color w:val="auto"/>
          <w:u w:val="none"/>
        </w:rPr>
        <w:instrText xml:space="preserve"> HYPERLINK \l "在十二届全国人大常委会第三十一次会议上的讲话" </w:instrText>
      </w:r>
      <w:r>
        <w:rPr>
          <w:rFonts w:hint="eastAsia" w:asciiTheme="minorEastAsia" w:hAnsiTheme="minorEastAsia" w:cstheme="minorEastAsia"/>
          <w:color w:val="auto"/>
          <w:u w:val="none"/>
        </w:rPr>
        <w:fldChar w:fldCharType="separate"/>
      </w:r>
      <w:r>
        <w:rPr>
          <w:rStyle w:val="16"/>
          <w:rFonts w:hint="eastAsia" w:asciiTheme="minorEastAsia" w:hAnsiTheme="minorEastAsia" w:cstheme="minorEastAsia"/>
        </w:rPr>
        <w:t>1.2  张德江在十二届全国人大常委会第三十一次会议上的讲话</w:t>
      </w:r>
      <w:r>
        <w:rPr>
          <w:rStyle w:val="16"/>
          <w:rFonts w:hint="eastAsia" w:asciiTheme="minorEastAsia" w:hAnsiTheme="minorEastAsia" w:cstheme="minorEastAsia"/>
        </w:rPr>
        <w:tab/>
      </w:r>
      <w:r>
        <w:rPr>
          <w:rStyle w:val="16"/>
          <w:rFonts w:hint="eastAsia" w:asciiTheme="minorEastAsia" w:hAnsiTheme="minorEastAsia" w:cstheme="minorEastAsia"/>
        </w:rPr>
        <w:t>1</w:t>
      </w:r>
      <w:r>
        <w:rPr>
          <w:rFonts w:hint="eastAsia" w:asciiTheme="minorEastAsia" w:hAnsiTheme="minorEastAsia" w:cstheme="minorEastAsia"/>
          <w:color w:val="auto"/>
          <w:u w:val="none"/>
        </w:rPr>
        <w:fldChar w:fldCharType="end"/>
      </w:r>
      <w:r>
        <w:rPr>
          <w:rFonts w:hint="eastAsia" w:asciiTheme="minorEastAsia" w:hAnsiTheme="minorEastAsia" w:cstheme="minorEastAsia"/>
        </w:rPr>
        <w:t>4</w:t>
      </w:r>
    </w:p>
    <w:p>
      <w:pPr>
        <w:pStyle w:val="10"/>
        <w:tabs>
          <w:tab w:val="right" w:leader="hyphen" w:pos="8300"/>
        </w:tabs>
        <w:adjustRightInd w:val="0"/>
        <w:snapToGrid w:val="0"/>
        <w:spacing w:line="480" w:lineRule="auto"/>
        <w:ind w:left="480"/>
        <w:outlineLvl w:val="1"/>
      </w:pPr>
      <w:r>
        <w:rPr>
          <w:rFonts w:hint="eastAsia" w:asciiTheme="minorEastAsia" w:hAnsiTheme="minorEastAsia" w:cstheme="minorEastAsia"/>
          <w:color w:val="auto"/>
          <w:u w:val="none"/>
        </w:rPr>
        <w:fldChar w:fldCharType="begin"/>
      </w:r>
      <w:r>
        <w:rPr>
          <w:rFonts w:hint="eastAsia" w:asciiTheme="minorEastAsia" w:hAnsiTheme="minorEastAsia" w:cstheme="minorEastAsia"/>
          <w:color w:val="auto"/>
          <w:u w:val="none"/>
        </w:rPr>
        <w:instrText xml:space="preserve"> HYPERLINK \l "李克强主持召开国务院常务会议部署进一步优化营商环境等" </w:instrText>
      </w:r>
      <w:r>
        <w:rPr>
          <w:rFonts w:hint="eastAsia" w:asciiTheme="minorEastAsia" w:hAnsiTheme="minorEastAsia" w:cstheme="minorEastAsia"/>
          <w:color w:val="auto"/>
          <w:u w:val="none"/>
        </w:rPr>
        <w:fldChar w:fldCharType="separate"/>
      </w:r>
      <w:r>
        <w:rPr>
          <w:rStyle w:val="16"/>
          <w:rFonts w:hint="eastAsia" w:asciiTheme="minorEastAsia" w:hAnsiTheme="minorEastAsia" w:cstheme="minorEastAsia"/>
        </w:rPr>
        <w:t>1.3  李克强主持召开国务院常务会议 部署进一步优化营商环境等</w:t>
      </w:r>
      <w:r>
        <w:rPr>
          <w:rStyle w:val="16"/>
          <w:rFonts w:hint="eastAsia" w:asciiTheme="minorEastAsia" w:hAnsiTheme="minorEastAsia" w:cstheme="minorEastAsia"/>
        </w:rPr>
        <w:tab/>
      </w:r>
      <w:r>
        <w:rPr>
          <w:rStyle w:val="16"/>
          <w:rFonts w:hint="eastAsia" w:asciiTheme="minorEastAsia" w:hAnsiTheme="minorEastAsia" w:cstheme="minorEastAsia"/>
        </w:rPr>
        <w:t>2</w:t>
      </w:r>
      <w:r>
        <w:rPr>
          <w:rFonts w:hint="eastAsia" w:asciiTheme="minorEastAsia" w:hAnsiTheme="minorEastAsia" w:cstheme="minorEastAsia"/>
          <w:color w:val="auto"/>
          <w:u w:val="none"/>
        </w:rPr>
        <w:fldChar w:fldCharType="end"/>
      </w:r>
      <w:r>
        <w:rPr>
          <w:rFonts w:hint="eastAsia" w:asciiTheme="minorEastAsia" w:hAnsiTheme="minorEastAsia" w:cstheme="minorEastAsia"/>
        </w:rPr>
        <w:t>1</w:t>
      </w:r>
    </w:p>
    <w:p>
      <w:pPr>
        <w:pStyle w:val="9"/>
        <w:tabs>
          <w:tab w:val="right" w:leader="hyphen" w:pos="8300"/>
        </w:tabs>
        <w:adjustRightInd w:val="0"/>
        <w:snapToGrid w:val="0"/>
        <w:spacing w:line="480" w:lineRule="auto"/>
        <w:outlineLvl w:val="0"/>
        <w:rPr>
          <w:b/>
          <w:bCs/>
        </w:rPr>
      </w:pPr>
      <w:r>
        <w:fldChar w:fldCharType="begin"/>
      </w:r>
      <w:r>
        <w:instrText xml:space="preserve"> HYPERLINK \l "_Toc13511" </w:instrText>
      </w:r>
      <w:r>
        <w:fldChar w:fldCharType="separate"/>
      </w:r>
      <w:r>
        <w:rPr>
          <w:rFonts w:hint="eastAsia"/>
          <w:b/>
          <w:bCs/>
        </w:rPr>
        <w:t>2. 行业金融监管</w:t>
      </w:r>
      <w:r>
        <w:rPr>
          <w:rFonts w:hint="eastAsia"/>
          <w:b/>
          <w:bCs/>
        </w:rPr>
        <w:fldChar w:fldCharType="end"/>
      </w:r>
    </w:p>
    <w:p>
      <w:pPr>
        <w:pStyle w:val="10"/>
        <w:tabs>
          <w:tab w:val="right" w:leader="hyphen" w:pos="8300"/>
        </w:tabs>
        <w:adjustRightInd w:val="0"/>
        <w:snapToGrid w:val="0"/>
        <w:spacing w:line="480" w:lineRule="auto"/>
        <w:ind w:left="480"/>
        <w:outlineLvl w:val="1"/>
      </w:pPr>
      <w:r>
        <w:rPr>
          <w:rFonts w:hint="eastAsia"/>
          <w:color w:val="auto"/>
          <w:u w:val="none"/>
        </w:rPr>
        <w:fldChar w:fldCharType="begin"/>
      </w:r>
      <w:r>
        <w:rPr>
          <w:rFonts w:hint="eastAsia"/>
          <w:color w:val="auto"/>
          <w:u w:val="none"/>
        </w:rPr>
        <w:instrText xml:space="preserve"> HYPERLINK \l "中国人民银行行长周小川新年致辞" </w:instrText>
      </w:r>
      <w:r>
        <w:rPr>
          <w:rFonts w:hint="eastAsia"/>
          <w:color w:val="auto"/>
          <w:u w:val="none"/>
        </w:rPr>
        <w:fldChar w:fldCharType="separate"/>
      </w:r>
      <w:r>
        <w:rPr>
          <w:rStyle w:val="16"/>
          <w:rFonts w:hint="eastAsia"/>
        </w:rPr>
        <w:t>2.1中国人民银行行长周小川新年致辞</w:t>
      </w:r>
      <w:r>
        <w:rPr>
          <w:rStyle w:val="16"/>
        </w:rPr>
        <w:tab/>
      </w:r>
      <w:r>
        <w:rPr>
          <w:rStyle w:val="16"/>
          <w:rFonts w:hint="eastAsia"/>
        </w:rPr>
        <w:t>2</w:t>
      </w:r>
      <w:r>
        <w:rPr>
          <w:rFonts w:hint="eastAsia"/>
          <w:color w:val="auto"/>
          <w:u w:val="none"/>
        </w:rPr>
        <w:fldChar w:fldCharType="end"/>
      </w:r>
      <w:r>
        <w:rPr>
          <w:rFonts w:hint="eastAsia"/>
        </w:rPr>
        <w:t>3</w:t>
      </w:r>
    </w:p>
    <w:p>
      <w:pPr>
        <w:pStyle w:val="10"/>
        <w:tabs>
          <w:tab w:val="right" w:leader="hyphen" w:pos="8300"/>
        </w:tabs>
        <w:adjustRightInd w:val="0"/>
        <w:snapToGrid w:val="0"/>
        <w:spacing w:line="480" w:lineRule="auto"/>
        <w:ind w:left="480"/>
        <w:outlineLvl w:val="1"/>
      </w:pPr>
      <w:r>
        <w:rPr>
          <w:rFonts w:hint="eastAsia"/>
          <w:color w:val="auto"/>
          <w:u w:val="none"/>
        </w:rPr>
        <w:fldChar w:fldCharType="begin"/>
      </w:r>
      <w:r>
        <w:rPr>
          <w:rFonts w:hint="eastAsia"/>
          <w:color w:val="auto"/>
          <w:u w:val="none"/>
        </w:rPr>
        <w:instrText xml:space="preserve"> HYPERLINK \l "进一步完善人民币跨境业务政策促进贸易投资便利化" </w:instrText>
      </w:r>
      <w:r>
        <w:rPr>
          <w:rFonts w:hint="eastAsia"/>
          <w:color w:val="auto"/>
          <w:u w:val="none"/>
        </w:rPr>
        <w:fldChar w:fldCharType="separate"/>
      </w:r>
      <w:r>
        <w:rPr>
          <w:rStyle w:val="16"/>
          <w:rFonts w:hint="eastAsia"/>
        </w:rPr>
        <w:t>2.2进一步完善人民币跨境业务政策 促进贸易投资便利化</w:t>
      </w:r>
      <w:r>
        <w:rPr>
          <w:rStyle w:val="16"/>
        </w:rPr>
        <w:tab/>
      </w:r>
      <w:r>
        <w:rPr>
          <w:rStyle w:val="16"/>
          <w:rFonts w:hint="eastAsia"/>
        </w:rPr>
        <w:t>2</w:t>
      </w:r>
      <w:r>
        <w:rPr>
          <w:rFonts w:hint="eastAsia"/>
          <w:color w:val="auto"/>
          <w:u w:val="none"/>
        </w:rPr>
        <w:fldChar w:fldCharType="end"/>
      </w:r>
      <w:r>
        <w:rPr>
          <w:rFonts w:hint="eastAsia"/>
        </w:rPr>
        <w:t>5</w:t>
      </w:r>
    </w:p>
    <w:p>
      <w:pPr>
        <w:pStyle w:val="10"/>
        <w:tabs>
          <w:tab w:val="right" w:leader="hyphen" w:pos="8300"/>
        </w:tabs>
        <w:adjustRightInd w:val="0"/>
        <w:snapToGrid w:val="0"/>
        <w:spacing w:line="480" w:lineRule="auto"/>
        <w:ind w:left="480"/>
        <w:outlineLvl w:val="1"/>
      </w:pPr>
      <w:r>
        <w:rPr>
          <w:rFonts w:hint="eastAsia"/>
          <w:color w:val="auto"/>
          <w:u w:val="none"/>
        </w:rPr>
        <w:fldChar w:fldCharType="begin"/>
      </w:r>
      <w:r>
        <w:rPr>
          <w:rFonts w:hint="eastAsia"/>
          <w:color w:val="auto"/>
          <w:u w:val="none"/>
        </w:rPr>
        <w:instrText xml:space="preserve"> HYPERLINK \l "《中国人民银行、银监会、证监会、保监会关于规范债券市场参与者债券交易业务的通知》" </w:instrText>
      </w:r>
      <w:r>
        <w:rPr>
          <w:rFonts w:hint="eastAsia"/>
          <w:color w:val="auto"/>
          <w:u w:val="none"/>
        </w:rPr>
        <w:fldChar w:fldCharType="separate"/>
      </w:r>
      <w:r>
        <w:rPr>
          <w:rStyle w:val="16"/>
          <w:rFonts w:hint="eastAsia"/>
        </w:rPr>
        <w:t>2.3《中国人民银行 银监会 证监会 保监会关于规范债券市场参与者债券交易业务的通知》答记者问</w:t>
      </w:r>
      <w:r>
        <w:rPr>
          <w:rStyle w:val="16"/>
        </w:rPr>
        <w:tab/>
      </w:r>
      <w:r>
        <w:rPr>
          <w:rStyle w:val="16"/>
          <w:rFonts w:hint="eastAsia"/>
        </w:rPr>
        <w:t>2</w:t>
      </w:r>
      <w:r>
        <w:rPr>
          <w:rFonts w:hint="eastAsia"/>
          <w:color w:val="auto"/>
          <w:u w:val="none"/>
        </w:rPr>
        <w:fldChar w:fldCharType="end"/>
      </w:r>
      <w:r>
        <w:rPr>
          <w:rFonts w:hint="eastAsia"/>
        </w:rPr>
        <w:t>7</w:t>
      </w:r>
    </w:p>
    <w:p>
      <w:pPr>
        <w:pStyle w:val="10"/>
        <w:tabs>
          <w:tab w:val="right" w:leader="hyphen" w:pos="8300"/>
        </w:tabs>
        <w:adjustRightInd w:val="0"/>
        <w:snapToGrid w:val="0"/>
        <w:spacing w:line="480" w:lineRule="auto"/>
        <w:ind w:left="2640" w:hanging="2160" w:hangingChars="900"/>
        <w:outlineLvl w:val="1"/>
      </w:pPr>
      <w:r>
        <w:rPr>
          <w:rFonts w:hint="eastAsia"/>
          <w:color w:val="auto"/>
          <w:u w:val="none"/>
        </w:rPr>
        <w:t>2.4</w:t>
      </w:r>
      <w:r>
        <w:rPr>
          <w:rFonts w:hint="eastAsia"/>
          <w:color w:val="auto"/>
          <w:u w:val="none"/>
        </w:rPr>
        <w:fldChar w:fldCharType="begin"/>
      </w:r>
      <w:r>
        <w:rPr>
          <w:rFonts w:hint="eastAsia"/>
          <w:color w:val="auto"/>
          <w:u w:val="none"/>
        </w:rPr>
        <w:instrText xml:space="preserve"> HYPERLINK \l "中国银行业监督管理委员会令" </w:instrText>
      </w:r>
      <w:r>
        <w:rPr>
          <w:rFonts w:hint="eastAsia"/>
          <w:color w:val="auto"/>
          <w:u w:val="none"/>
        </w:rPr>
        <w:fldChar w:fldCharType="separate"/>
      </w:r>
      <w:r>
        <w:rPr>
          <w:rStyle w:val="16"/>
          <w:rFonts w:hint="eastAsia"/>
        </w:rPr>
        <w:t>中国银行业监督管理委员会令</w:t>
      </w:r>
      <w:r>
        <w:rPr>
          <w:rFonts w:hint="eastAsia"/>
          <w:color w:val="auto"/>
          <w:u w:val="none"/>
        </w:rPr>
        <w:fldChar w:fldCharType="end"/>
      </w:r>
      <w:r>
        <w:rPr>
          <w:rFonts w:hint="eastAsia"/>
          <w:color w:val="auto"/>
          <w:u w:val="none"/>
        </w:rPr>
        <w:t xml:space="preserve"> </w:t>
      </w:r>
      <w:r>
        <w:rPr>
          <w:color w:val="auto"/>
          <w:u w:val="none"/>
        </w:rPr>
        <w:tab/>
      </w:r>
      <w:r>
        <w:rPr>
          <w:color w:val="auto"/>
          <w:u w:val="none"/>
        </w:rPr>
        <w:fldChar w:fldCharType="begin"/>
      </w:r>
      <w:r>
        <w:rPr>
          <w:color w:val="auto"/>
          <w:u w:val="none"/>
        </w:rPr>
        <w:instrText xml:space="preserve"> PAGEREF _Toc5669 </w:instrText>
      </w:r>
      <w:r>
        <w:rPr>
          <w:color w:val="auto"/>
          <w:u w:val="none"/>
        </w:rPr>
        <w:fldChar w:fldCharType="separate"/>
      </w:r>
      <w:r>
        <w:rPr>
          <w:color w:val="auto"/>
          <w:u w:val="none"/>
        </w:rPr>
        <w:t>3</w:t>
      </w:r>
      <w:r>
        <w:rPr>
          <w:color w:val="auto"/>
          <w:u w:val="none"/>
        </w:rPr>
        <w:fldChar w:fldCharType="end"/>
      </w:r>
      <w:r>
        <w:rPr>
          <w:rFonts w:hint="eastAsia"/>
        </w:rPr>
        <w:t>0</w:t>
      </w:r>
    </w:p>
    <w:p>
      <w:pPr>
        <w:adjustRightInd w:val="0"/>
        <w:snapToGrid w:val="0"/>
        <w:spacing w:line="480" w:lineRule="auto"/>
        <w:outlineLvl w:val="1"/>
      </w:pPr>
      <w:r>
        <w:rPr>
          <w:rFonts w:hint="eastAsia"/>
        </w:rPr>
        <w:t xml:space="preserve">    2.5</w:t>
      </w:r>
      <w:r>
        <w:rPr>
          <w:rFonts w:hint="eastAsia"/>
          <w:color w:val="auto"/>
          <w:u w:val="none"/>
        </w:rPr>
        <w:fldChar w:fldCharType="begin"/>
      </w:r>
      <w:r>
        <w:rPr>
          <w:rFonts w:hint="eastAsia"/>
          <w:color w:val="auto"/>
          <w:u w:val="none"/>
        </w:rPr>
        <w:instrText xml:space="preserve"> HYPERLINK \l "证监会对5宗案件作出行政处罚" </w:instrText>
      </w:r>
      <w:r>
        <w:rPr>
          <w:rFonts w:hint="eastAsia"/>
          <w:color w:val="auto"/>
          <w:u w:val="none"/>
        </w:rPr>
        <w:fldChar w:fldCharType="separate"/>
      </w:r>
      <w:r>
        <w:rPr>
          <w:rStyle w:val="16"/>
          <w:rFonts w:hint="eastAsia"/>
        </w:rPr>
        <w:t xml:space="preserve">证监会对5宗案件作出行政处罚 </w:t>
      </w:r>
      <w:r>
        <w:rPr>
          <w:rFonts w:hint="eastAsia"/>
          <w:color w:val="auto"/>
          <w:u w:val="none"/>
        </w:rPr>
        <w:fldChar w:fldCharType="end"/>
      </w:r>
      <w:r>
        <w:rPr>
          <w:rFonts w:hint="eastAsia"/>
        </w:rPr>
        <w:t>----------------------------------------------</w:t>
      </w:r>
      <w:r>
        <w:rPr>
          <w:rFonts w:hint="eastAsia"/>
          <w:lang w:val="en-US" w:eastAsia="zh-CN"/>
        </w:rPr>
        <w:t>53</w:t>
      </w:r>
    </w:p>
    <w:p>
      <w:pPr>
        <w:adjustRightInd w:val="0"/>
        <w:snapToGrid w:val="0"/>
        <w:spacing w:line="480" w:lineRule="auto"/>
        <w:ind w:firstLine="480" w:firstLineChars="200"/>
        <w:outlineLvl w:val="1"/>
      </w:pPr>
      <w:r>
        <w:rPr>
          <w:rFonts w:hint="eastAsia"/>
        </w:rPr>
        <w:t>2.6</w:t>
      </w:r>
      <w:r>
        <w:rPr>
          <w:rFonts w:hint="eastAsia"/>
          <w:color w:val="auto"/>
          <w:u w:val="none"/>
        </w:rPr>
        <w:fldChar w:fldCharType="begin"/>
      </w:r>
      <w:r>
        <w:rPr>
          <w:rFonts w:hint="eastAsia"/>
          <w:color w:val="auto"/>
          <w:u w:val="none"/>
        </w:rPr>
        <w:instrText xml:space="preserve"> HYPERLINK \l "证监会党委举办系统会管干部学习贯彻党的十九大精神第二期专题轮训班" </w:instrText>
      </w:r>
      <w:r>
        <w:rPr>
          <w:rFonts w:hint="eastAsia"/>
          <w:color w:val="auto"/>
          <w:u w:val="none"/>
        </w:rPr>
        <w:fldChar w:fldCharType="separate"/>
      </w:r>
      <w:r>
        <w:rPr>
          <w:rStyle w:val="16"/>
          <w:rFonts w:hint="eastAsia"/>
        </w:rPr>
        <w:t>证监会党委举办系统会管干部学习贯彻党的十九大精神第二期专题轮训班</w:t>
      </w:r>
      <w:r>
        <w:rPr>
          <w:rFonts w:hint="eastAsia"/>
          <w:color w:val="auto"/>
          <w:u w:val="none"/>
        </w:rPr>
        <w:fldChar w:fldCharType="end"/>
      </w:r>
      <w:r>
        <w:rPr>
          <w:rFonts w:hint="eastAsia"/>
        </w:rPr>
        <w:t xml:space="preserve">------------------------------------------------------------------------------------------------- </w:t>
      </w:r>
      <w:r>
        <w:rPr>
          <w:rFonts w:hint="eastAsia"/>
          <w:lang w:val="en-US" w:eastAsia="zh-CN"/>
        </w:rPr>
        <w:t>56</w:t>
      </w:r>
    </w:p>
    <w:p>
      <w:pPr>
        <w:tabs>
          <w:tab w:val="center" w:pos="4150"/>
        </w:tabs>
        <w:adjustRightInd w:val="0"/>
        <w:snapToGrid w:val="0"/>
        <w:spacing w:line="480" w:lineRule="auto"/>
        <w:ind w:firstLine="480" w:firstLineChars="200"/>
        <w:outlineLvl w:val="1"/>
      </w:pPr>
      <w:r>
        <w:rPr>
          <w:rFonts w:hint="eastAsia"/>
        </w:rPr>
        <w:t>2.7</w:t>
      </w:r>
      <w:r>
        <w:rPr>
          <w:rFonts w:hint="eastAsia"/>
          <w:color w:val="auto"/>
          <w:u w:val="none"/>
        </w:rPr>
        <w:fldChar w:fldCharType="begin"/>
      </w:r>
      <w:r>
        <w:rPr>
          <w:rFonts w:hint="eastAsia"/>
          <w:color w:val="auto"/>
          <w:u w:val="none"/>
        </w:rPr>
        <w:instrText xml:space="preserve"> HYPERLINK \l "刘士余调研指导稽查执法工作" </w:instrText>
      </w:r>
      <w:r>
        <w:rPr>
          <w:rFonts w:hint="eastAsia"/>
          <w:color w:val="auto"/>
          <w:u w:val="none"/>
        </w:rPr>
        <w:fldChar w:fldCharType="separate"/>
      </w:r>
      <w:r>
        <w:rPr>
          <w:rStyle w:val="16"/>
          <w:rFonts w:hint="eastAsia"/>
        </w:rPr>
        <w:t>刘士余调研指导稽查执法工作</w:t>
      </w:r>
      <w:r>
        <w:rPr>
          <w:rFonts w:hint="eastAsia"/>
          <w:color w:val="auto"/>
          <w:u w:val="none"/>
        </w:rPr>
        <w:fldChar w:fldCharType="end"/>
      </w:r>
      <w:r>
        <w:rPr>
          <w:rFonts w:hint="eastAsia"/>
        </w:rPr>
        <w:t>------------------------------------------------- -5</w:t>
      </w:r>
      <w:r>
        <w:rPr>
          <w:rFonts w:hint="eastAsia"/>
          <w:lang w:val="en-US" w:eastAsia="zh-CN"/>
        </w:rPr>
        <w:t>8</w:t>
      </w:r>
      <w:r>
        <w:rPr>
          <w:rFonts w:hint="eastAsia"/>
        </w:rPr>
        <w:t xml:space="preserve">               </w:t>
      </w:r>
    </w:p>
    <w:p>
      <w:pPr>
        <w:adjustRightInd w:val="0"/>
        <w:snapToGrid w:val="0"/>
        <w:spacing w:line="480" w:lineRule="auto"/>
        <w:ind w:firstLine="480" w:firstLineChars="200"/>
        <w:outlineLvl w:val="1"/>
      </w:pPr>
      <w:r>
        <w:rPr>
          <w:rFonts w:hint="eastAsia"/>
        </w:rPr>
        <w:t>2.8</w:t>
      </w:r>
      <w:r>
        <w:rPr>
          <w:rFonts w:hint="eastAsia"/>
          <w:color w:val="auto"/>
          <w:u w:val="none"/>
        </w:rPr>
        <w:fldChar w:fldCharType="begin"/>
      </w:r>
      <w:r>
        <w:rPr>
          <w:rFonts w:hint="eastAsia"/>
          <w:color w:val="auto"/>
          <w:u w:val="none"/>
        </w:rPr>
        <w:instrText xml:space="preserve"> HYPERLINK \l "规范银行卡境外大额提取现金完善跨境反洗钱监管" </w:instrText>
      </w:r>
      <w:r>
        <w:rPr>
          <w:rFonts w:hint="eastAsia"/>
          <w:color w:val="auto"/>
          <w:u w:val="none"/>
        </w:rPr>
        <w:fldChar w:fldCharType="separate"/>
      </w:r>
      <w:r>
        <w:rPr>
          <w:rStyle w:val="16"/>
          <w:rFonts w:hint="eastAsia"/>
        </w:rPr>
        <w:t>规范银行卡境外大额提取现金 完善跨境反洗钱监管</w:t>
      </w:r>
      <w:r>
        <w:rPr>
          <w:rFonts w:hint="eastAsia"/>
          <w:color w:val="auto"/>
          <w:u w:val="none"/>
        </w:rPr>
        <w:fldChar w:fldCharType="end"/>
      </w:r>
      <w:r>
        <w:rPr>
          <w:rFonts w:hint="eastAsia"/>
        </w:rPr>
        <w:t>--------------------- -</w:t>
      </w:r>
      <w:r>
        <w:rPr>
          <w:rFonts w:hint="eastAsia"/>
          <w:lang w:val="en-US" w:eastAsia="zh-CN"/>
        </w:rPr>
        <w:t>61</w:t>
      </w:r>
    </w:p>
    <w:p>
      <w:pPr>
        <w:adjustRightInd w:val="0"/>
        <w:snapToGrid w:val="0"/>
        <w:spacing w:line="480" w:lineRule="auto"/>
        <w:ind w:firstLine="480" w:firstLineChars="200"/>
        <w:outlineLvl w:val="1"/>
        <w:rPr>
          <w:rFonts w:hint="eastAsia"/>
        </w:rPr>
      </w:pPr>
      <w:r>
        <w:rPr>
          <w:rFonts w:hint="eastAsia"/>
        </w:rPr>
        <w:t>2.9</w:t>
      </w:r>
      <w:r>
        <w:rPr>
          <w:rFonts w:hint="eastAsia"/>
          <w:color w:val="auto"/>
          <w:u w:val="none"/>
        </w:rPr>
        <w:fldChar w:fldCharType="begin"/>
      </w:r>
      <w:r>
        <w:rPr>
          <w:rFonts w:hint="eastAsia"/>
          <w:color w:val="auto"/>
          <w:u w:val="none"/>
        </w:rPr>
        <w:instrText xml:space="preserve"> HYPERLINK \l "国家外汇管理局有关负责人就规范银行卡境外大额提取现金交易有关问题答记者问" </w:instrText>
      </w:r>
      <w:r>
        <w:rPr>
          <w:rFonts w:hint="eastAsia"/>
          <w:color w:val="auto"/>
          <w:u w:val="none"/>
        </w:rPr>
        <w:fldChar w:fldCharType="separate"/>
      </w:r>
      <w:r>
        <w:rPr>
          <w:rStyle w:val="16"/>
          <w:rFonts w:hint="eastAsia"/>
        </w:rPr>
        <w:t>国家外汇管理局有关负责人就规范银行卡境外大额提取现金交易有关问题答记者问</w:t>
      </w:r>
      <w:r>
        <w:rPr>
          <w:rFonts w:hint="eastAsia"/>
          <w:color w:val="auto"/>
          <w:u w:val="none"/>
        </w:rPr>
        <w:fldChar w:fldCharType="end"/>
      </w:r>
      <w:r>
        <w:rPr>
          <w:rFonts w:hint="eastAsia"/>
        </w:rPr>
        <w:t>-------------------------------------------------------------------------------------</w:t>
      </w:r>
      <w:r>
        <w:rPr>
          <w:rFonts w:hint="eastAsia"/>
          <w:lang w:val="en-US" w:eastAsia="zh-CN"/>
        </w:rPr>
        <w:t>62</w:t>
      </w:r>
    </w:p>
    <w:p>
      <w:pPr>
        <w:adjustRightInd w:val="0"/>
        <w:snapToGrid w:val="0"/>
        <w:spacing w:line="480" w:lineRule="auto"/>
        <w:ind w:firstLine="480" w:firstLineChars="200"/>
        <w:outlineLvl w:val="1"/>
        <w:rPr>
          <w:rFonts w:hint="eastAsia"/>
        </w:rPr>
      </w:pPr>
      <w:r>
        <w:rPr>
          <w:rStyle w:val="16"/>
          <w:rFonts w:hint="eastAsia"/>
          <w:lang w:val="en-US" w:eastAsia="zh-CN"/>
        </w:rPr>
        <w:t>2.10</w:t>
      </w:r>
      <w:r>
        <w:rPr>
          <w:rFonts w:hint="eastAsia"/>
          <w:color w:val="0000FF"/>
          <w:u w:val="single"/>
        </w:rPr>
        <w:fldChar w:fldCharType="begin"/>
      </w:r>
      <w:r>
        <w:rPr>
          <w:rFonts w:hint="eastAsia"/>
          <w:color w:val="0000FF"/>
          <w:u w:val="single"/>
        </w:rPr>
        <w:instrText xml:space="preserve"> HYPERLINK \l "国家外汇管理局关于规范银行卡境外大额提取现金交易的通知" </w:instrText>
      </w:r>
      <w:r>
        <w:rPr>
          <w:rFonts w:hint="eastAsia"/>
          <w:color w:val="0000FF"/>
          <w:u w:val="single"/>
        </w:rPr>
        <w:fldChar w:fldCharType="separate"/>
      </w:r>
      <w:r>
        <w:rPr>
          <w:rStyle w:val="16"/>
          <w:rFonts w:hint="eastAsia"/>
        </w:rPr>
        <w:t>国家外汇管理局关于规范银行卡境外大额提取现金交易的通知</w:t>
      </w:r>
      <w:r>
        <w:rPr>
          <w:rFonts w:hint="eastAsia"/>
          <w:color w:val="0000FF"/>
          <w:u w:val="single"/>
        </w:rPr>
        <w:fldChar w:fldCharType="end"/>
      </w:r>
      <w:r>
        <w:rPr>
          <w:rStyle w:val="16"/>
          <w:rFonts w:hint="eastAsia"/>
          <w:lang w:val="en-US" w:eastAsia="zh-CN"/>
        </w:rPr>
        <w:t>------66</w:t>
      </w:r>
    </w:p>
    <w:p>
      <w:pPr>
        <w:pStyle w:val="9"/>
        <w:tabs>
          <w:tab w:val="right" w:leader="hyphen" w:pos="8300"/>
        </w:tabs>
        <w:adjustRightInd w:val="0"/>
        <w:snapToGrid w:val="0"/>
        <w:spacing w:line="480" w:lineRule="auto"/>
        <w:outlineLvl w:val="0"/>
        <w:rPr>
          <w:b/>
          <w:bCs/>
        </w:rPr>
      </w:pPr>
      <w:r>
        <w:fldChar w:fldCharType="begin"/>
      </w:r>
      <w:r>
        <w:instrText xml:space="preserve"> HYPERLINK \l "_Toc20299" </w:instrText>
      </w:r>
      <w:r>
        <w:fldChar w:fldCharType="separate"/>
      </w:r>
      <w:r>
        <w:rPr>
          <w:rFonts w:hint="eastAsia"/>
          <w:b/>
          <w:bCs/>
        </w:rPr>
        <w:t>3. 地方金融监管</w:t>
      </w:r>
      <w:r>
        <w:rPr>
          <w:rFonts w:hint="eastAsia"/>
          <w:b/>
          <w:bCs/>
        </w:rPr>
        <w:fldChar w:fldCharType="end"/>
      </w:r>
    </w:p>
    <w:p>
      <w:pPr>
        <w:pStyle w:val="10"/>
        <w:tabs>
          <w:tab w:val="right" w:leader="hyphen" w:pos="8300"/>
        </w:tabs>
        <w:adjustRightInd w:val="0"/>
        <w:snapToGrid w:val="0"/>
        <w:spacing w:line="480" w:lineRule="auto"/>
        <w:ind w:left="480"/>
        <w:outlineLvl w:val="1"/>
      </w:pPr>
      <w:r>
        <w:rPr>
          <w:rFonts w:hint="eastAsia"/>
          <w:color w:val="auto"/>
          <w:u w:val="none"/>
        </w:rPr>
        <w:t>3.1</w:t>
      </w:r>
      <w:r>
        <w:rPr>
          <w:rFonts w:hint="eastAsia"/>
          <w:color w:val="auto"/>
          <w:u w:val="none"/>
        </w:rPr>
        <w:fldChar w:fldCharType="begin"/>
      </w:r>
      <w:r>
        <w:rPr>
          <w:rFonts w:hint="eastAsia"/>
          <w:color w:val="auto"/>
          <w:u w:val="none"/>
        </w:rPr>
        <w:instrText xml:space="preserve"> HYPERLINK \l "关于2017年北京市人大代表建议、批评和意见工作情况的报告" </w:instrText>
      </w:r>
      <w:r>
        <w:rPr>
          <w:rFonts w:hint="eastAsia"/>
          <w:color w:val="auto"/>
          <w:u w:val="none"/>
        </w:rPr>
        <w:fldChar w:fldCharType="separate"/>
      </w:r>
      <w:r>
        <w:rPr>
          <w:rStyle w:val="16"/>
          <w:rFonts w:hint="eastAsia"/>
        </w:rPr>
        <w:t>关于2017年北京市人大代表建议、批评和意见工作情况的报告</w:t>
      </w:r>
      <w:r>
        <w:rPr>
          <w:rFonts w:hint="eastAsia"/>
          <w:color w:val="auto"/>
          <w:u w:val="none"/>
        </w:rPr>
        <w:fldChar w:fldCharType="end"/>
      </w:r>
      <w:r>
        <w:rPr>
          <w:color w:val="auto"/>
          <w:u w:val="none"/>
        </w:rPr>
        <w:tab/>
      </w:r>
      <w:r>
        <w:rPr>
          <w:rFonts w:hint="eastAsia"/>
          <w:lang w:val="en-US" w:eastAsia="zh-CN"/>
        </w:rPr>
        <w:t>69</w:t>
      </w:r>
    </w:p>
    <w:p>
      <w:pPr>
        <w:pStyle w:val="9"/>
        <w:tabs>
          <w:tab w:val="right" w:leader="hyphen" w:pos="8300"/>
        </w:tabs>
        <w:adjustRightInd w:val="0"/>
        <w:snapToGrid w:val="0"/>
        <w:spacing w:line="480" w:lineRule="auto"/>
        <w:outlineLvl w:val="0"/>
        <w:rPr>
          <w:b/>
          <w:bCs/>
        </w:rPr>
      </w:pPr>
      <w:r>
        <w:fldChar w:fldCharType="begin"/>
      </w:r>
      <w:r>
        <w:instrText xml:space="preserve"> HYPERLINK \l "_Toc29567" </w:instrText>
      </w:r>
      <w:r>
        <w:fldChar w:fldCharType="separate"/>
      </w:r>
      <w:r>
        <w:rPr>
          <w:rFonts w:hint="eastAsia"/>
          <w:b/>
          <w:bCs/>
        </w:rPr>
        <w:t>4. 证券</w:t>
      </w:r>
      <w:r>
        <w:rPr>
          <w:rFonts w:hint="eastAsia"/>
          <w:b/>
          <w:bCs/>
        </w:rPr>
        <w:fldChar w:fldCharType="end"/>
      </w:r>
    </w:p>
    <w:p>
      <w:pPr>
        <w:pStyle w:val="10"/>
        <w:tabs>
          <w:tab w:val="right" w:leader="hyphen" w:pos="8300"/>
        </w:tabs>
        <w:adjustRightInd w:val="0"/>
        <w:snapToGrid w:val="0"/>
        <w:spacing w:line="480" w:lineRule="auto"/>
        <w:ind w:left="480"/>
        <w:outlineLvl w:val="1"/>
      </w:pPr>
      <w:r>
        <w:rPr>
          <w:rFonts w:hint="eastAsia"/>
          <w:color w:val="auto"/>
          <w:u w:val="none"/>
        </w:rPr>
        <w:t>4.1</w:t>
      </w:r>
      <w:r>
        <w:rPr>
          <w:rFonts w:hint="eastAsia"/>
          <w:color w:val="auto"/>
          <w:u w:val="none"/>
        </w:rPr>
        <w:fldChar w:fldCharType="begin"/>
      </w:r>
      <w:r>
        <w:rPr>
          <w:rFonts w:hint="eastAsia"/>
          <w:color w:val="auto"/>
          <w:u w:val="none"/>
        </w:rPr>
        <w:instrText xml:space="preserve"> HYPERLINK \l "中国证券投资基金业协会创投基金专委会2018年第一次工作会议在北京召开" </w:instrText>
      </w:r>
      <w:r>
        <w:rPr>
          <w:rFonts w:hint="eastAsia"/>
          <w:color w:val="auto"/>
          <w:u w:val="none"/>
        </w:rPr>
        <w:fldChar w:fldCharType="separate"/>
      </w:r>
      <w:r>
        <w:rPr>
          <w:rStyle w:val="16"/>
          <w:rFonts w:hint="eastAsia"/>
        </w:rPr>
        <w:t>中国证券投资基金业协会创投基金专委会2018年第一次工作会议在北京召开</w:t>
      </w:r>
      <w:r>
        <w:rPr>
          <w:rFonts w:hint="eastAsia"/>
          <w:color w:val="auto"/>
          <w:u w:val="none"/>
        </w:rPr>
        <w:fldChar w:fldCharType="end"/>
      </w:r>
      <w:r>
        <w:rPr>
          <w:color w:val="auto"/>
          <w:u w:val="none"/>
        </w:rPr>
        <w:tab/>
      </w:r>
      <w:r>
        <w:rPr>
          <w:rFonts w:hint="eastAsia"/>
          <w:color w:val="auto"/>
          <w:u w:val="none"/>
          <w:lang w:val="en-US" w:eastAsia="zh-CN"/>
        </w:rPr>
        <w:t>80</w:t>
      </w:r>
    </w:p>
    <w:p>
      <w:pPr>
        <w:pStyle w:val="10"/>
        <w:tabs>
          <w:tab w:val="right" w:leader="hyphen" w:pos="8300"/>
        </w:tabs>
        <w:adjustRightInd w:val="0"/>
        <w:snapToGrid w:val="0"/>
        <w:spacing w:line="480" w:lineRule="auto"/>
        <w:ind w:left="480"/>
        <w:outlineLvl w:val="1"/>
      </w:pPr>
      <w:r>
        <w:rPr>
          <w:rFonts w:hint="eastAsia"/>
          <w:color w:val="auto"/>
          <w:u w:val="none"/>
        </w:rPr>
        <w:fldChar w:fldCharType="begin"/>
      </w:r>
      <w:r>
        <w:rPr>
          <w:rFonts w:hint="eastAsia"/>
          <w:color w:val="auto"/>
          <w:u w:val="none"/>
        </w:rPr>
        <w:instrText xml:space="preserve"> HYPERLINK \l "对养老金安全的几点认知——中国证券投资基金业协会副会长钟蓉萨在《中国养老金精算报" </w:instrText>
      </w:r>
      <w:r>
        <w:rPr>
          <w:rFonts w:hint="eastAsia"/>
          <w:color w:val="auto"/>
          <w:u w:val="none"/>
        </w:rPr>
        <w:fldChar w:fldCharType="separate"/>
      </w:r>
      <w:r>
        <w:rPr>
          <w:rStyle w:val="16"/>
          <w:rFonts w:hint="eastAsia"/>
        </w:rPr>
        <w:t>4.2对养老金安全的几点认知——中国证券投资基金业协会副会长钟蓉萨在《中国养老金精算报告 2018-2022》发布会上的讲话</w:t>
      </w:r>
      <w:r>
        <w:rPr>
          <w:rStyle w:val="16"/>
        </w:rPr>
        <w:tab/>
      </w:r>
      <w:r>
        <w:rPr>
          <w:rStyle w:val="16"/>
          <w:rFonts w:hint="eastAsia"/>
          <w:lang w:val="en-US" w:eastAsia="zh-CN"/>
        </w:rPr>
        <w:t>8</w:t>
      </w:r>
      <w:r>
        <w:rPr>
          <w:rFonts w:hint="eastAsia"/>
          <w:color w:val="auto"/>
          <w:u w:val="none"/>
        </w:rPr>
        <w:fldChar w:fldCharType="end"/>
      </w:r>
      <w:r>
        <w:rPr>
          <w:rFonts w:hint="eastAsia"/>
          <w:color w:val="auto"/>
          <w:u w:val="none"/>
          <w:lang w:val="en-US" w:eastAsia="zh-CN"/>
        </w:rPr>
        <w:t>3</w:t>
      </w:r>
    </w:p>
    <w:p>
      <w:pPr>
        <w:pStyle w:val="10"/>
        <w:tabs>
          <w:tab w:val="right" w:leader="hyphen" w:pos="8300"/>
        </w:tabs>
        <w:adjustRightInd w:val="0"/>
        <w:snapToGrid w:val="0"/>
        <w:spacing w:line="480" w:lineRule="auto"/>
        <w:ind w:left="480"/>
        <w:outlineLvl w:val="1"/>
      </w:pPr>
      <w:r>
        <w:rPr>
          <w:rFonts w:hint="eastAsia"/>
          <w:color w:val="auto"/>
          <w:u w:val="none"/>
        </w:rPr>
        <w:fldChar w:fldCharType="begin"/>
      </w:r>
      <w:r>
        <w:rPr>
          <w:rFonts w:hint="eastAsia"/>
          <w:color w:val="auto"/>
          <w:u w:val="none"/>
        </w:rPr>
        <w:instrText xml:space="preserve"> HYPERLINK \l "关于融资融券标的证券2017年第四季度定期调整有关事项的通知" </w:instrText>
      </w:r>
      <w:r>
        <w:rPr>
          <w:rFonts w:hint="eastAsia"/>
          <w:color w:val="auto"/>
          <w:u w:val="none"/>
        </w:rPr>
        <w:fldChar w:fldCharType="separate"/>
      </w:r>
      <w:r>
        <w:rPr>
          <w:rStyle w:val="16"/>
          <w:rFonts w:hint="eastAsia"/>
        </w:rPr>
        <w:t>4.3关于融资融券标的证券2017年第四季度定期调整有关事项的通知</w:t>
      </w:r>
      <w:r>
        <w:rPr>
          <w:rStyle w:val="16"/>
        </w:rPr>
        <w:tab/>
      </w:r>
      <w:r>
        <w:rPr>
          <w:rStyle w:val="16"/>
          <w:rFonts w:hint="eastAsia"/>
          <w:lang w:val="en-US" w:eastAsia="zh-CN"/>
        </w:rPr>
        <w:t>8</w:t>
      </w:r>
      <w:r>
        <w:rPr>
          <w:rFonts w:hint="eastAsia"/>
          <w:color w:val="auto"/>
          <w:u w:val="none"/>
        </w:rPr>
        <w:fldChar w:fldCharType="end"/>
      </w:r>
      <w:r>
        <w:rPr>
          <w:rStyle w:val="16"/>
          <w:rFonts w:hint="eastAsia"/>
          <w:lang w:val="en-US" w:eastAsia="zh-CN"/>
        </w:rPr>
        <w:t>7</w:t>
      </w:r>
    </w:p>
    <w:p>
      <w:pPr>
        <w:pStyle w:val="10"/>
        <w:tabs>
          <w:tab w:val="right" w:leader="hyphen" w:pos="8300"/>
        </w:tabs>
        <w:adjustRightInd w:val="0"/>
        <w:snapToGrid w:val="0"/>
        <w:spacing w:line="480" w:lineRule="auto"/>
        <w:outlineLvl w:val="1"/>
      </w:pPr>
    </w:p>
    <w:p>
      <w:pPr>
        <w:adjustRightInd w:val="0"/>
        <w:snapToGrid w:val="0"/>
        <w:spacing w:line="480" w:lineRule="auto"/>
        <w:jc w:val="center"/>
        <w:rPr>
          <w:b/>
          <w:sz w:val="48"/>
          <w:szCs w:val="48"/>
        </w:rPr>
      </w:pPr>
      <w:r>
        <w:rPr>
          <w:rFonts w:hint="eastAsia"/>
        </w:rPr>
        <w:fldChar w:fldCharType="end"/>
      </w:r>
      <w:bookmarkStart w:id="23" w:name="_GoBack"/>
      <w:bookmarkEnd w:id="23"/>
    </w:p>
    <w:p>
      <w:pPr>
        <w:spacing w:line="360" w:lineRule="auto"/>
        <w:rPr>
          <w:b/>
          <w:sz w:val="48"/>
          <w:szCs w:val="48"/>
        </w:rPr>
      </w:pPr>
    </w:p>
    <w:p>
      <w:pPr>
        <w:spacing w:line="360" w:lineRule="auto"/>
        <w:jc w:val="left"/>
        <w:rPr>
          <w:b/>
        </w:rPr>
      </w:pPr>
    </w:p>
    <w:p>
      <w:pPr>
        <w:spacing w:line="360" w:lineRule="auto"/>
        <w:jc w:val="left"/>
        <w:rPr>
          <w:b/>
        </w:rPr>
      </w:pPr>
    </w:p>
    <w:p>
      <w:pPr>
        <w:spacing w:line="360" w:lineRule="auto"/>
        <w:jc w:val="left"/>
        <w:rPr>
          <w:b/>
        </w:rPr>
      </w:pPr>
    </w:p>
    <w:p>
      <w:pPr>
        <w:spacing w:line="360" w:lineRule="auto"/>
        <w:ind w:firstLine="261" w:firstLineChars="109"/>
        <w:jc w:val="left"/>
      </w:pPr>
    </w:p>
    <w:p>
      <w:pPr>
        <w:spacing w:line="360" w:lineRule="auto"/>
        <w:jc w:val="left"/>
        <w:rPr>
          <w:b/>
        </w:rPr>
      </w:pPr>
    </w:p>
    <w:p>
      <w:pPr>
        <w:spacing w:line="360" w:lineRule="auto"/>
        <w:ind w:firstLine="263" w:firstLineChars="109"/>
        <w:jc w:val="left"/>
        <w:rPr>
          <w:b/>
        </w:rPr>
      </w:pPr>
    </w:p>
    <w:p>
      <w:pPr>
        <w:spacing w:line="360" w:lineRule="auto"/>
        <w:jc w:val="left"/>
        <w:rPr>
          <w:b/>
        </w:rPr>
      </w:pPr>
    </w:p>
    <w:p>
      <w:pPr>
        <w:spacing w:line="360" w:lineRule="auto"/>
        <w:ind w:firstLine="306" w:firstLineChars="109"/>
        <w:jc w:val="center"/>
        <w:rPr>
          <w:b/>
          <w:sz w:val="28"/>
          <w:szCs w:val="28"/>
        </w:rPr>
        <w:sectPr>
          <w:footerReference r:id="rId3" w:type="default"/>
          <w:pgSz w:w="11900" w:h="16840"/>
          <w:pgMar w:top="1440" w:right="1800" w:bottom="1440" w:left="1800" w:header="851" w:footer="992" w:gutter="0"/>
          <w:pgNumType w:start="1"/>
          <w:cols w:space="425" w:num="1"/>
          <w:docGrid w:type="lines" w:linePitch="312" w:charSpace="0"/>
        </w:sectPr>
      </w:pPr>
    </w:p>
    <w:p>
      <w:pPr>
        <w:spacing w:line="360" w:lineRule="auto"/>
        <w:jc w:val="center"/>
        <w:rPr>
          <w:b/>
          <w:sz w:val="28"/>
          <w:szCs w:val="28"/>
        </w:rPr>
      </w:pPr>
      <w:bookmarkStart w:id="0" w:name="习近平在党的十九届一中全会上的讲话"/>
      <w:r>
        <w:rPr>
          <w:rFonts w:hint="eastAsia"/>
          <w:b/>
          <w:sz w:val="28"/>
          <w:szCs w:val="28"/>
        </w:rPr>
        <w:t>习近平在党的十九届一中全会上的讲话</w:t>
      </w:r>
    </w:p>
    <w:bookmarkEnd w:id="0"/>
    <w:p>
      <w:pPr>
        <w:spacing w:line="360" w:lineRule="auto"/>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2018年01月01日   来源：</w:t>
      </w:r>
      <w:r>
        <w:fldChar w:fldCharType="begin"/>
      </w:r>
      <w:r>
        <w:instrText xml:space="preserve"> HYPERLINK "http://www.qstheory.cn/dukan/qs/2017-12/31/c_1122175484.htm" \t "http://cpc.people.com.cn/n1/2018/0101/_blank" </w:instrText>
      </w:r>
      <w:r>
        <w:fldChar w:fldCharType="separate"/>
      </w:r>
      <w:r>
        <w:rPr>
          <w:rStyle w:val="16"/>
          <w:rFonts w:hint="eastAsia" w:ascii="宋体" w:hAnsi="宋体" w:eastAsia="宋体" w:cs="宋体"/>
          <w:color w:val="000000"/>
          <w:sz w:val="18"/>
          <w:szCs w:val="18"/>
          <w:u w:val="none"/>
          <w:shd w:val="clear" w:color="auto" w:fill="FFFFFF"/>
        </w:rPr>
        <w:t>求是</w:t>
      </w:r>
      <w:r>
        <w:rPr>
          <w:rStyle w:val="16"/>
          <w:rFonts w:hint="eastAsia" w:ascii="宋体" w:hAnsi="宋体" w:eastAsia="宋体" w:cs="宋体"/>
          <w:color w:val="000000"/>
          <w:sz w:val="18"/>
          <w:szCs w:val="18"/>
          <w:u w:val="none"/>
          <w:shd w:val="clear" w:color="auto" w:fill="FFFFFF"/>
        </w:rPr>
        <w:fldChar w:fldCharType="end"/>
      </w:r>
      <w:r>
        <w:rPr>
          <w:rStyle w:val="16"/>
          <w:rFonts w:hint="eastAsia" w:ascii="宋体" w:hAnsi="宋体" w:eastAsia="宋体" w:cs="宋体"/>
          <w:color w:val="000000"/>
          <w:sz w:val="18"/>
          <w:szCs w:val="18"/>
          <w:u w:val="none"/>
          <w:shd w:val="clear" w:color="auto" w:fill="FFFFFF"/>
          <w:lang w:eastAsia="zh-CN"/>
        </w:rPr>
        <w:t>、中国共产党新闻网</w:t>
      </w:r>
    </w:p>
    <w:p>
      <w:pPr>
        <w:spacing w:line="360" w:lineRule="auto"/>
        <w:rPr>
          <w:rFonts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原标题：在党的十九届一中全会上的讲话</w:t>
      </w:r>
    </w:p>
    <w:p>
      <w:pPr>
        <w:spacing w:line="360" w:lineRule="auto"/>
        <w:jc w:val="center"/>
        <w:rPr>
          <w:rStyle w:val="13"/>
          <w:rFonts w:ascii="微软雅黑" w:hAnsi="微软雅黑" w:eastAsia="微软雅黑" w:cs="微软雅黑"/>
          <w:color w:val="000000"/>
          <w:sz w:val="18"/>
          <w:szCs w:val="18"/>
          <w:shd w:val="clear" w:color="auto" w:fill="FFFFFF"/>
        </w:rPr>
      </w:pPr>
      <w:r>
        <w:rPr>
          <w:rStyle w:val="13"/>
          <w:rFonts w:ascii="微软雅黑" w:hAnsi="微软雅黑" w:eastAsia="微软雅黑" w:cs="微软雅黑"/>
          <w:color w:val="000000"/>
          <w:sz w:val="18"/>
          <w:szCs w:val="18"/>
          <w:shd w:val="clear" w:color="auto" w:fill="FFFFFF"/>
        </w:rPr>
        <w:t>习近平在党的十九届一中全会上的讲话</w:t>
      </w:r>
    </w:p>
    <w:p>
      <w:pPr>
        <w:spacing w:line="360" w:lineRule="auto"/>
        <w:jc w:val="center"/>
        <w:rPr>
          <w:rStyle w:val="13"/>
          <w:rFonts w:ascii="微软雅黑" w:hAnsi="微软雅黑" w:eastAsia="微软雅黑" w:cs="微软雅黑"/>
          <w:color w:val="000000"/>
          <w:sz w:val="18"/>
          <w:szCs w:val="18"/>
          <w:shd w:val="clear" w:color="auto" w:fill="FFFFFF"/>
        </w:rPr>
      </w:pPr>
      <w:r>
        <w:rPr>
          <w:rStyle w:val="13"/>
          <w:rFonts w:hint="eastAsia" w:ascii="微软雅黑" w:hAnsi="微软雅黑" w:eastAsia="微软雅黑" w:cs="微软雅黑"/>
          <w:color w:val="000000"/>
          <w:sz w:val="18"/>
          <w:szCs w:val="18"/>
          <w:shd w:val="clear" w:color="auto" w:fill="FFFFFF"/>
        </w:rPr>
        <w:t>（2017年10月25日）</w:t>
      </w:r>
    </w:p>
    <w:p>
      <w:pPr>
        <w:spacing w:line="360" w:lineRule="auto"/>
        <w:jc w:val="center"/>
        <w:rPr>
          <w:rStyle w:val="13"/>
          <w:rFonts w:ascii="微软雅黑" w:hAnsi="微软雅黑" w:eastAsia="微软雅黑" w:cs="微软雅黑"/>
          <w:color w:val="000000"/>
          <w:sz w:val="18"/>
          <w:szCs w:val="18"/>
          <w:shd w:val="clear" w:color="auto" w:fill="FFFFFF"/>
        </w:rPr>
      </w:pPr>
      <w:r>
        <w:rPr>
          <w:rStyle w:val="13"/>
          <w:rFonts w:hint="eastAsia" w:ascii="微软雅黑" w:hAnsi="微软雅黑" w:eastAsia="微软雅黑" w:cs="微软雅黑"/>
          <w:color w:val="000000"/>
          <w:sz w:val="18"/>
          <w:szCs w:val="18"/>
          <w:shd w:val="clear" w:color="auto" w:fill="FFFFFF"/>
        </w:rPr>
        <w:drawing>
          <wp:inline distT="0" distB="0" distL="114300" distR="114300">
            <wp:extent cx="2578735" cy="1959610"/>
            <wp:effectExtent l="0" t="0" r="12065" b="2540"/>
            <wp:docPr id="4" name="图片 4" descr="10337926328373656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0337926328373656769"/>
                    <pic:cNvPicPr>
                      <a:picLocks noChangeAspect="1"/>
                    </pic:cNvPicPr>
                  </pic:nvPicPr>
                  <pic:blipFill>
                    <a:blip r:embed="rId6"/>
                    <a:stretch>
                      <a:fillRect/>
                    </a:stretch>
                  </pic:blipFill>
                  <pic:spPr>
                    <a:xfrm>
                      <a:off x="0" y="0"/>
                      <a:ext cx="2578735" cy="1959610"/>
                    </a:xfrm>
                    <a:prstGeom prst="rect">
                      <a:avLst/>
                    </a:prstGeom>
                  </pic:spPr>
                </pic:pic>
              </a:graphicData>
            </a:graphic>
          </wp:inline>
        </w:drawing>
      </w:r>
    </w:p>
    <w:p>
      <w:pPr>
        <w:spacing w:line="360" w:lineRule="auto"/>
        <w:rPr>
          <w:rStyle w:val="13"/>
          <w:rFonts w:ascii="微软雅黑" w:hAnsi="微软雅黑" w:eastAsia="微软雅黑" w:cs="微软雅黑"/>
          <w:b w:val="0"/>
          <w:bCs/>
          <w:color w:val="000000"/>
          <w:sz w:val="18"/>
          <w:szCs w:val="18"/>
          <w:shd w:val="clear" w:color="auto" w:fill="FFFFFF"/>
        </w:rPr>
      </w:pPr>
    </w:p>
    <w:p>
      <w:pPr>
        <w:spacing w:line="360" w:lineRule="auto"/>
        <w:ind w:firstLine="440"/>
        <w:jc w:val="left"/>
        <w:rPr>
          <w:rStyle w:val="13"/>
          <w:rFonts w:ascii="华文仿宋" w:hAnsi="华文仿宋" w:eastAsia="华文仿宋" w:cs="华文仿宋"/>
          <w:b w:val="0"/>
          <w:bCs/>
          <w:color w:val="000000"/>
          <w:sz w:val="20"/>
          <w:szCs w:val="20"/>
          <w:shd w:val="clear" w:color="auto" w:fill="FFFFFF"/>
        </w:rPr>
      </w:pPr>
      <w:r>
        <w:rPr>
          <w:rStyle w:val="13"/>
          <w:rFonts w:hint="eastAsia" w:ascii="华文楷体" w:hAnsi="华文楷体" w:eastAsia="华文楷体" w:cs="华文楷体"/>
          <w:b w:val="0"/>
          <w:bCs/>
          <w:color w:val="000000"/>
          <w:shd w:val="clear" w:color="auto" w:fill="FFFFFF"/>
        </w:rPr>
        <w:t>10月25日，中国共产党第十九届中央委员会第一次全体会议在北京人民大会堂举行。习近平同志主持会议并作重要讲话。</w:t>
      </w:r>
      <w:r>
        <w:rPr>
          <w:rStyle w:val="13"/>
          <w:rFonts w:hint="eastAsia" w:ascii="华文仿宋" w:hAnsi="华文仿宋" w:eastAsia="华文仿宋" w:cs="华文仿宋"/>
          <w:b w:val="0"/>
          <w:bCs/>
          <w:color w:val="000000"/>
          <w:sz w:val="22"/>
          <w:szCs w:val="22"/>
          <w:shd w:val="clear" w:color="auto" w:fill="FFFFFF"/>
        </w:rPr>
        <w:t xml:space="preserve">  </w:t>
      </w:r>
      <w:r>
        <w:rPr>
          <w:rStyle w:val="13"/>
          <w:rFonts w:hint="eastAsia" w:ascii="华文仿宋" w:hAnsi="华文仿宋" w:eastAsia="华文仿宋" w:cs="华文仿宋"/>
          <w:b w:val="0"/>
          <w:bCs/>
          <w:color w:val="000000"/>
          <w:sz w:val="20"/>
          <w:szCs w:val="20"/>
          <w:shd w:val="clear" w:color="auto" w:fill="FFFFFF"/>
        </w:rPr>
        <w:t>新华社记者 刘卫兵 摄</w:t>
      </w:r>
    </w:p>
    <w:p>
      <w:pPr>
        <w:spacing w:line="360" w:lineRule="auto"/>
        <w:ind w:firstLine="440"/>
        <w:jc w:val="left"/>
        <w:rPr>
          <w:rStyle w:val="13"/>
          <w:rFonts w:ascii="华文仿宋" w:hAnsi="华文仿宋" w:eastAsia="华文仿宋" w:cs="华文仿宋"/>
          <w:b w:val="0"/>
          <w:bCs/>
          <w:color w:val="000000"/>
          <w:sz w:val="20"/>
          <w:szCs w:val="2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仿宋" w:hAnsi="华文仿宋" w:eastAsia="华文仿宋" w:cs="华文仿宋"/>
          <w:color w:val="000000"/>
          <w:sz w:val="21"/>
          <w:szCs w:val="21"/>
          <w:shd w:val="clear" w:color="auto" w:fill="FFFFFF"/>
        </w:rPr>
        <w:t>　</w:t>
      </w:r>
      <w:r>
        <w:rPr>
          <w:rStyle w:val="13"/>
          <w:rFonts w:hint="eastAsia" w:ascii="华文楷体" w:hAnsi="华文楷体" w:eastAsia="华文楷体" w:cs="华文楷体"/>
          <w:color w:val="000000"/>
          <w:shd w:val="clear" w:color="auto" w:fill="FFFFFF"/>
        </w:rPr>
        <w:t>　</w:t>
      </w:r>
      <w:r>
        <w:rPr>
          <w:rStyle w:val="13"/>
          <w:rFonts w:hint="eastAsia" w:ascii="华文楷体" w:hAnsi="华文楷体" w:eastAsia="华文楷体" w:cs="华文楷体"/>
          <w:b w:val="0"/>
          <w:bCs/>
          <w:color w:val="000000"/>
          <w:shd w:val="clear" w:color="auto" w:fill="FFFFFF"/>
        </w:rPr>
        <w:t>这次中央全会已经完成了选举产生新一届中央领导机构的任务。党和人民把历史重任交给我们，是对我们的高度信任和殷切期望。我们要不忘初心、牢记使命，恪尽职守，勤勉工作，以身许党许国、报党报国，为决胜全面建成小康社会、夺取新时代中国特色社会主义伟大胜利而奋斗。</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党的十八大以来的5年，是党和国家发展进程中极不平凡的5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感显著提升，为党和国家事业进步发展奠定了更加坚实的基础。</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党的十八大以来我们取得的重大成就和重要经验，凝结着十八届中央委员会、中央政治局、中央政治局常委会的智慧和心血。大家牢记党和人民重托，恪守职责，勤奋工作，开拓创新，在各自岗位上都作出了杰出的成绩。现在，张德江、俞正声、刘云山、王岐山、张高丽等许多同志离开了党中央领导岗位，党和人民将铭记他们作出的重大贡献。在这里，我代表十九届中央委员会，向他们致以衷心的感谢和崇高的敬意！</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刚刚闭幕的党的十九大，是在全面建成小康社会决胜阶段、中国特色社会主义进入新时代的关键时期召开的一次十分重要的大会，是一次不忘初心、牢记使命、高举旗帜、团结奋进的大会。大会高举中国特色社会主义伟大旗帜，以马克思列宁主义、毛泽东思想、邓小平理论、“三个代表”重要思想、科学发展观、新时代中国特色社会主义思想为指导，分析了国际国内形势发展变化，回顾和总结了过去5年的工作和历史性变革，作出了中国特色社会主义进入了新时代、我国社会主要矛盾已经转化为人民日益增长的美好生活需要和不平衡不充分的发展之间的矛盾等重大政治论断，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作出了全面部署。</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的党章修正案，体现了党的十八大以来党的理论创新、实践创新、制度创新取得的成果，体现了党的十九大报告确立的重大理论观点和重大战略思想，对加强党的全面领导、推进全面从严治党提出了明确要求。</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全面贯彻落实党的十九大精神，为实现党的十九大确定的目标任务而奋斗，是新一届中央领导集体的重大政治任务和工作主题。新时代意味着新起点新要求，新时代呼唤着新气象新作为。当前和今后一个时期，要重点抓好以下6个方面工作。</w:t>
      </w: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第一，全面把握中国特色社会主义进入新时代的新要求，不断提高党和国家事业发展水平。中国特色社会主义进入了新时代，这是我国发展新的历史方位。党的十八大以来，在新中国成立特别是改革开放以来取得重大成就的基础上，我国发展站到了新的历史起点上，中国特色社会主义事业进入了新的发展阶段。这表明，中国特色社会主义事业要从第一个百年奋斗目标迈向第二个百年奋斗目标，全面建成小康社会、加快推进社会主义现代化、实现中华民族伟大复兴既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第二，全面贯彻新时代中国特色社会主义思想和基本方略，不断提高全党马克思主义理论水平。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第三，全面完成决胜全面建成小康社会各项任务，不断提高社会主义现代化建设水平。决胜全面建成小康社会，为全面建成小康社会圆满收官，是当前和今后一个时期党和国家的首要任务。党的十九大进一步明确了我们党对如期全面建成小康社会的承诺。从时间看，3年多时间并不长，转瞬即过，时间紧迫，时间不等人。从要求看，全面建成小康社会要得到人民认可、经得起历史检验，必须做到实打实、不掺任何水分。从任务看，抓重点、补短板、强弱项还有不少难关要过，特别是要坚决打好防范化解重大风险、精准脱贫、污染防治的攻坚战。完成非凡之事，要有非凡之精神和行动。决胜就是冲锋号，就是总动员。在新时代的征程上，全党同志一定要按照党的十九大对经济建设、政治建设、文化建设、社会建设、生态文明建设等作出的部署，全面完成各项任务，确保如期全面建成小康社会，并在此基础上乘势而上，开启全面建设社会主义现代化国家新征程。</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第四，全面推进各领域各方面改革，不断提高国家治理体系和治理能力现代化水平。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第五，全面落实以人民为中心的发展思想，不断提高保障和改善民生水平。为人民谋幸福，是中国共产党人的初心。我们要时刻不忘这个初心，永远把人民对美好生活的向往作为奋斗目标。党的十九大对保障和改善民生作出了全面部署。我们要始终以实现好、维护好、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医、老有所养、住有所居、弱有所扶上不断取得新进展，不断促进社会公平正义，不断促进人的全面发展、全体人民共同富裕。</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第六，全面推进党的建设新的伟大工程，不断提高全面从严治党水平。坚持党的领导，坚持党要管党、全面从严治党，是进行具有许多新的历史特点的伟大斗争、推进中国特色社会主义伟大事业、实现民族复兴伟大梦想的根本保证，也是我们党紧跟时代前进步伐、始终保持先进性和纯洁性的必然要求。我们党团结带领人民进行革命、建设、改革的实践都证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增强党的创造力凝聚力战斗力的现实需要，来自永葆党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量，就一定能够始终保持同人民群众的血肉联系，就一定能够引领承载着中国人民伟大梦想的航船破浪前进、胜利驶向光辉的彼岸。</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5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投入党和人民事业。这里，我提几点希望，同大家共勉。</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第一，坚定理想信念。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作出示范和表率。要自觉学习马克思主义理论，深入观察世界发展大势，深刻体察中国特色社会主义伟大实践，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第二，强化政治责任。党中央权威和集中统一领导，最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不耍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第三，全面增强本领。当今世界正面临着前所未有的大变局，中国特色社会主义进入了新时代。党内外、国内外环境的深刻变化，工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作对专业化、专门化、精细化提出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第四，扎实改进作风。干部作风是人民群众观察评价党风的晴雨表。党的十八大以来的实践证明，作风建设必须以上率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勤勤恳恳为民，就是要践行全心全意为人民服务的根本宗旨，做人民公仆，始终把人民群众安危冷暖放在心上，想问题、作决策、抓工作坚持从群众中来、到群众中去，时时做到与群众同甘苦、共忧乐、共奋进。兢兢业业干事，就是要确立献身党和人民事业的崇高情怀，聚精会神履行党和人民赋予的神圣职责，实干苦干，不务虚功，夙兴夜寐，勤奋工作，以一流业绩回报党和人民的信任和重托。清清白白做人，就是要一身正气、两袖清风，自觉遵守廉洁自律准则，自觉遵守中央八项规定精神，自觉接受监督，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作出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地头，到市场社区，亲自察看、亲身体验。调查研究要紧扣人民群众生产生活，紧扣经济社会发展实际，紧扣全面从严治党面临的现实问题，紧扣贯彻落实党的十九大精神需要解决的问题。既要到工作局面好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pPr>
        <w:spacing w:line="360" w:lineRule="auto"/>
        <w:jc w:val="left"/>
        <w:rPr>
          <w:rStyle w:val="13"/>
          <w:rFonts w:ascii="华文楷体" w:hAnsi="华文楷体" w:eastAsia="华文楷体" w:cs="华文楷体"/>
          <w:b w:val="0"/>
          <w:bCs/>
          <w:color w:val="000000"/>
          <w:shd w:val="clear" w:color="auto" w:fill="FFFFFF"/>
        </w:rPr>
      </w:pPr>
    </w:p>
    <w:p>
      <w:pPr>
        <w:spacing w:line="360" w:lineRule="auto"/>
        <w:jc w:val="lef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同志们！让我们更加紧密地团结起来，高举中国特色社会主义伟大旗帜，奋发进取、埋头苦干，勇于开拓、勇于创新，为实现党的十九大确定的目标任务而奋斗！</w:t>
      </w:r>
    </w:p>
    <w:p>
      <w:pPr>
        <w:spacing w:line="360" w:lineRule="auto"/>
        <w:jc w:val="righ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(责编：黄瑾、闫妍)</w:t>
      </w:r>
    </w:p>
    <w:p>
      <w:pPr>
        <w:spacing w:line="360" w:lineRule="auto"/>
        <w:jc w:val="right"/>
        <w:rPr>
          <w:rStyle w:val="13"/>
          <w:rFonts w:ascii="华文楷体" w:hAnsi="华文楷体" w:eastAsia="华文楷体" w:cs="华文楷体"/>
          <w:b w:val="0"/>
          <w:bCs/>
          <w:color w:val="000000"/>
          <w:shd w:val="clear" w:color="auto" w:fill="FFFFFF"/>
        </w:rPr>
      </w:pPr>
    </w:p>
    <w:p>
      <w:pPr>
        <w:spacing w:line="360" w:lineRule="auto"/>
        <w:jc w:val="right"/>
        <w:rPr>
          <w:rStyle w:val="13"/>
          <w:rFonts w:ascii="华文楷体" w:hAnsi="华文楷体" w:eastAsia="华文楷体" w:cs="华文楷体"/>
          <w:b w:val="0"/>
          <w:bCs/>
          <w:color w:val="000000"/>
          <w:shd w:val="clear" w:color="auto" w:fill="FFFFFF"/>
        </w:rPr>
      </w:pPr>
    </w:p>
    <w:p>
      <w:pPr>
        <w:spacing w:line="360" w:lineRule="auto"/>
        <w:jc w:val="right"/>
        <w:rPr>
          <w:rStyle w:val="13"/>
          <w:rFonts w:ascii="华文楷体" w:hAnsi="华文楷体" w:eastAsia="华文楷体" w:cs="华文楷体"/>
          <w:b w:val="0"/>
          <w:bCs/>
          <w:color w:val="000000"/>
          <w:shd w:val="clear" w:color="auto" w:fill="FFFFFF"/>
        </w:rPr>
      </w:pPr>
    </w:p>
    <w:p>
      <w:pPr>
        <w:spacing w:line="360" w:lineRule="auto"/>
        <w:jc w:val="right"/>
        <w:rPr>
          <w:rStyle w:val="13"/>
          <w:rFonts w:ascii="华文楷体" w:hAnsi="华文楷体" w:eastAsia="华文楷体" w:cs="华文楷体"/>
          <w:b w:val="0"/>
          <w:bCs/>
          <w:color w:val="000000"/>
          <w:shd w:val="clear" w:color="auto" w:fill="FFFFFF"/>
        </w:rPr>
      </w:pPr>
    </w:p>
    <w:p>
      <w:pPr>
        <w:spacing w:line="360" w:lineRule="auto"/>
        <w:jc w:val="right"/>
        <w:rPr>
          <w:rStyle w:val="13"/>
          <w:rFonts w:ascii="华文楷体" w:hAnsi="华文楷体" w:eastAsia="华文楷体" w:cs="华文楷体"/>
          <w:b w:val="0"/>
          <w:bCs/>
          <w:color w:val="000000"/>
          <w:shd w:val="clear" w:color="auto" w:fill="FFFFFF"/>
        </w:rPr>
      </w:pPr>
    </w:p>
    <w:p>
      <w:pPr>
        <w:spacing w:line="360" w:lineRule="auto"/>
        <w:jc w:val="right"/>
        <w:rPr>
          <w:rStyle w:val="13"/>
          <w:rFonts w:ascii="华文楷体" w:hAnsi="华文楷体" w:eastAsia="华文楷体" w:cs="华文楷体"/>
          <w:b w:val="0"/>
          <w:bCs/>
          <w:color w:val="000000"/>
          <w:shd w:val="clear" w:color="auto" w:fill="FFFFFF"/>
        </w:rPr>
      </w:pPr>
    </w:p>
    <w:p>
      <w:pPr>
        <w:spacing w:line="360" w:lineRule="auto"/>
        <w:jc w:val="right"/>
        <w:rPr>
          <w:rStyle w:val="13"/>
          <w:rFonts w:ascii="华文楷体" w:hAnsi="华文楷体" w:eastAsia="华文楷体" w:cs="华文楷体"/>
          <w:b w:val="0"/>
          <w:bCs/>
          <w:color w:val="000000"/>
          <w:shd w:val="clear" w:color="auto" w:fill="FFFFFF"/>
        </w:rPr>
      </w:pPr>
    </w:p>
    <w:p>
      <w:pPr>
        <w:spacing w:line="360" w:lineRule="auto"/>
        <w:jc w:val="right"/>
        <w:rPr>
          <w:rStyle w:val="13"/>
          <w:rFonts w:ascii="华文楷体" w:hAnsi="华文楷体" w:eastAsia="华文楷体" w:cs="华文楷体"/>
          <w:b w:val="0"/>
          <w:bCs/>
          <w:color w:val="000000"/>
          <w:shd w:val="clear" w:color="auto" w:fill="FFFFFF"/>
        </w:rPr>
      </w:pPr>
    </w:p>
    <w:p>
      <w:pPr>
        <w:spacing w:line="360" w:lineRule="auto"/>
        <w:jc w:val="right"/>
        <w:rPr>
          <w:rStyle w:val="13"/>
          <w:rFonts w:ascii="华文楷体" w:hAnsi="华文楷体" w:eastAsia="华文楷体" w:cs="华文楷体"/>
          <w:b w:val="0"/>
          <w:bCs/>
          <w:color w:val="000000"/>
          <w:shd w:val="clear" w:color="auto" w:fill="FFFFFF"/>
        </w:rPr>
      </w:pPr>
    </w:p>
    <w:p>
      <w:pPr>
        <w:spacing w:line="360" w:lineRule="auto"/>
        <w:jc w:val="right"/>
        <w:rPr>
          <w:rStyle w:val="13"/>
          <w:rFonts w:ascii="华文楷体" w:hAnsi="华文楷体" w:eastAsia="华文楷体" w:cs="华文楷体"/>
          <w:b w:val="0"/>
          <w:bCs/>
          <w:color w:val="000000"/>
          <w:shd w:val="clear" w:color="auto" w:fill="FFFFFF"/>
        </w:rPr>
      </w:pPr>
    </w:p>
    <w:p>
      <w:pPr>
        <w:spacing w:line="360" w:lineRule="auto"/>
        <w:jc w:val="right"/>
        <w:rPr>
          <w:rStyle w:val="13"/>
          <w:rFonts w:ascii="华文楷体" w:hAnsi="华文楷体" w:eastAsia="华文楷体" w:cs="华文楷体"/>
          <w:b w:val="0"/>
          <w:bCs/>
          <w:color w:val="000000"/>
          <w:shd w:val="clear" w:color="auto" w:fill="FFFFFF"/>
        </w:rPr>
      </w:pPr>
    </w:p>
    <w:p>
      <w:pPr>
        <w:spacing w:line="360" w:lineRule="auto"/>
        <w:jc w:val="right"/>
        <w:rPr>
          <w:rStyle w:val="13"/>
          <w:rFonts w:ascii="华文楷体" w:hAnsi="华文楷体" w:eastAsia="华文楷体" w:cs="华文楷体"/>
          <w:b w:val="0"/>
          <w:bCs/>
          <w:color w:val="000000"/>
          <w:shd w:val="clear" w:color="auto" w:fill="FFFFFF"/>
        </w:rPr>
      </w:pPr>
    </w:p>
    <w:p>
      <w:pPr>
        <w:spacing w:line="360" w:lineRule="auto"/>
        <w:jc w:val="right"/>
        <w:rPr>
          <w:rStyle w:val="13"/>
          <w:rFonts w:ascii="华文楷体" w:hAnsi="华文楷体" w:eastAsia="华文楷体" w:cs="华文楷体"/>
          <w:b w:val="0"/>
          <w:bCs/>
          <w:color w:val="000000"/>
          <w:shd w:val="clear" w:color="auto" w:fill="FFFFFF"/>
        </w:rPr>
      </w:pPr>
    </w:p>
    <w:p>
      <w:pPr>
        <w:spacing w:line="360" w:lineRule="auto"/>
        <w:jc w:val="right"/>
        <w:rPr>
          <w:rStyle w:val="13"/>
          <w:rFonts w:ascii="华文楷体" w:hAnsi="华文楷体" w:eastAsia="华文楷体" w:cs="华文楷体"/>
          <w:b w:val="0"/>
          <w:bCs/>
          <w:color w:val="000000"/>
          <w:shd w:val="clear" w:color="auto" w:fill="FFFFFF"/>
        </w:rPr>
      </w:pPr>
    </w:p>
    <w:p>
      <w:pPr>
        <w:pStyle w:val="2"/>
        <w:widowControl/>
        <w:spacing w:beforeAutospacing="0" w:afterAutospacing="0" w:line="270" w:lineRule="atLeast"/>
        <w:jc w:val="center"/>
        <w:rPr>
          <w:rFonts w:hint="default"/>
          <w:sz w:val="28"/>
          <w:szCs w:val="28"/>
          <w:shd w:val="clear" w:color="auto" w:fill="FFFFFF"/>
        </w:rPr>
      </w:pPr>
      <w:bookmarkStart w:id="1" w:name="_Toc3121"/>
      <w:bookmarkStart w:id="2" w:name="_Toc19496"/>
      <w:bookmarkStart w:id="3" w:name="_Toc4326"/>
      <w:bookmarkStart w:id="4" w:name="在十二届全国人大常委会第三十一次会议上的讲话"/>
      <w:r>
        <w:rPr>
          <w:sz w:val="28"/>
          <w:szCs w:val="28"/>
          <w:shd w:val="clear" w:color="auto" w:fill="FFFFFF"/>
        </w:rPr>
        <w:t>在十二届全国人大常委会第三十一次会议上的讲话</w:t>
      </w:r>
      <w:bookmarkEnd w:id="1"/>
      <w:bookmarkEnd w:id="2"/>
      <w:bookmarkEnd w:id="3"/>
      <w:bookmarkEnd w:id="4"/>
    </w:p>
    <w:p>
      <w:pPr>
        <w:pStyle w:val="4"/>
        <w:widowControl/>
        <w:spacing w:line="270" w:lineRule="atLeast"/>
        <w:jc w:val="center"/>
        <w:rPr>
          <w:rFonts w:hint="default"/>
          <w:sz w:val="24"/>
          <w:szCs w:val="24"/>
        </w:rPr>
      </w:pPr>
      <w:bookmarkStart w:id="5" w:name="_Toc17238"/>
      <w:bookmarkStart w:id="6" w:name="_Toc26462"/>
      <w:bookmarkStart w:id="7" w:name="_Toc18525"/>
      <w:r>
        <w:rPr>
          <w:sz w:val="24"/>
          <w:szCs w:val="24"/>
          <w:shd w:val="clear" w:color="auto" w:fill="FFFFFF"/>
        </w:rPr>
        <w:t>(2017年12月27日)</w:t>
      </w:r>
      <w:bookmarkEnd w:id="5"/>
      <w:bookmarkEnd w:id="6"/>
      <w:bookmarkEnd w:id="7"/>
    </w:p>
    <w:p>
      <w:pPr>
        <w:pStyle w:val="11"/>
        <w:widowControl/>
        <w:spacing w:beforeAutospacing="0" w:afterAutospacing="0" w:line="270" w:lineRule="atLeast"/>
        <w:jc w:val="center"/>
      </w:pPr>
      <w:r>
        <w:rPr>
          <w:rFonts w:hint="eastAsia" w:ascii="宋体" w:hAnsi="宋体" w:eastAsia="宋体" w:cs="宋体"/>
          <w:sz w:val="18"/>
          <w:szCs w:val="18"/>
          <w:shd w:val="clear" w:color="auto" w:fill="FFFFFF"/>
        </w:rPr>
        <w:t>张德江</w:t>
      </w:r>
    </w:p>
    <w:p/>
    <w:p>
      <w:pPr>
        <w:spacing w:line="360" w:lineRule="auto"/>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2018年1月3日  来源： 中国人大网</w:t>
      </w:r>
      <w:r>
        <w:rPr>
          <w:rFonts w:hint="eastAsia" w:ascii="宋体" w:hAnsi="宋体" w:eastAsia="宋体" w:cs="宋体"/>
          <w:color w:val="000000"/>
          <w:sz w:val="18"/>
          <w:szCs w:val="18"/>
          <w:shd w:val="clear" w:color="auto" w:fill="FFFFFF"/>
          <w:lang w:eastAsia="zh-CN"/>
        </w:rPr>
        <w:t>、全国人民代表大会</w:t>
      </w: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各位委员、各位同志:</w:t>
      </w: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在大家的共同努力下，本次常委会会议顺利完成了各项预定任务。共审议14件法律草案和有关法律问题的决定草案，通过了其中的6件，决定将1件提请十三届全国人大一次会议审议；听取审议5个工作报告和1个执法检查报告；审议通过4个专门委员会关于代表议案审议结果的报告，听取关于代表建议办理情况的2个报告；决定了人事任免等其他事项。</w:t>
      </w:r>
    </w:p>
    <w:p>
      <w:pPr>
        <w:spacing w:line="360" w:lineRule="auto"/>
        <w:rPr>
          <w:rStyle w:val="13"/>
          <w:rFonts w:ascii="华文楷体" w:hAnsi="华文楷体" w:eastAsia="华文楷体" w:cs="华文楷体"/>
          <w:b w:val="0"/>
          <w:bCs/>
          <w:color w:val="000000"/>
          <w:shd w:val="clear" w:color="auto" w:fill="FFFFFF"/>
        </w:rPr>
      </w:pP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深化国家监察体制改革是以习近平同志为核心的党中央作出的重大决策部署，是事关全局的重大政治体制改革。党的十九大着眼于健全党和国家监督体系，对深化国家监察体制改革提出明确要求。贯彻党中央决策部署，常委会两次作出决定，支持和推动国家监察体制改革试点工作。在此基础上，积极推进监察法立法进程。6月份的常委会会议对监察法草案进行了初次审议。会后，常委会工作机构将草案送23个中央有关部门和31个省、自治区、直辖市人大常委会征求意见；召开相关方面专家会，听取专家学者意见；通过中国人大网公开草案全文，征求社会公众意见。认真贯彻党的十九大精神，研究吸收各方面的意见建议，对草案作了进一步修改完善。本次会议二次审议监察法草案，认为草案已经比较成熟，决定提请十三届全国人大一次会议审议。有关方面要及时将草案及参阅材料送全国人大代表，做好组织代表阅读讨论、意见收集等工作，为大会审议做好必要准备。</w:t>
      </w: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落实税收法定原则，是党中央提出的重要改革任务。常委会研究提出落实税收法定原则的实施意见，经党中央审议通过，明确了改革路线图和时间表；稳步推进税收立法，先后制定环境保护税法，修改企业所得税法。本次会议又审议通过了烟叶税法和船舶吨税法两部法律草案，将国务院制定的相关暂行条例上升为法律。经过各方面共同努力，落实税收法定原则迈出重要步伐。同时也要看到，按照实施意见的安排，到2020年完成相关税收立法工作，任务艰巨、时间紧迫。要加快节奏，密切配合，力争如期完成落实税收法定原则的改革任务。</w:t>
      </w:r>
    </w:p>
    <w:p>
      <w:pPr>
        <w:spacing w:line="360" w:lineRule="auto"/>
        <w:rPr>
          <w:rStyle w:val="13"/>
          <w:rFonts w:ascii="华文楷体" w:hAnsi="华文楷体" w:eastAsia="华文楷体" w:cs="华文楷体"/>
          <w:b w:val="0"/>
          <w:bCs/>
          <w:color w:val="000000"/>
          <w:shd w:val="clear" w:color="auto" w:fill="FFFFFF"/>
        </w:rPr>
      </w:pP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修改完善农民专业合作社法，是落实党的十九大提出的乡村振兴战略的一项重要举措。全国人大农业与农村委员会牵头组织，深入调研、反复论证，形成修订草案。经常委会两次审议，于本次会议表决通过。修订后的法律，赋予农民专业合作社平等的市场主体地位，允许以土地经营权等非货币财产作价出资，丰富了合作类型，完善了成员资格，有利于实现小农户和现代农业发展有机衔接，依法维护农民专业合作社及其成员的权益，有利于加快构建新型农业生产经营体系，更好发挥农民专业合作社对于推进农业农村现代化的积极作用。本次会议审议的土壤污染防治法、基本医疗卫生与健康促进法、国际刑事司法协助法等法律草案，也都是由全国人大有关专门委员会组织起草和提请审议的。本届以来，由专门委员会和常委会工作机构组织起草或者提请审议的法律案有67件，同以往相比明显增多，更好发挥了人大在立法工作中的主导作用。</w:t>
      </w:r>
    </w:p>
    <w:p>
      <w:pPr>
        <w:spacing w:line="360" w:lineRule="auto"/>
        <w:rPr>
          <w:rStyle w:val="13"/>
          <w:rFonts w:ascii="华文楷体" w:hAnsi="华文楷体" w:eastAsia="华文楷体" w:cs="华文楷体"/>
          <w:b w:val="0"/>
          <w:bCs/>
          <w:color w:val="000000"/>
          <w:shd w:val="clear" w:color="auto" w:fill="FFFFFF"/>
        </w:rPr>
      </w:pP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本次会议作出决定，批准广东省政府与香港特别行政区政府签署的《在广深港高铁西九龙站设立口岸实施“一地两检”的合作安排》，确认合作安排符合“一国两制”方针，符合宪法和香港基本法，为推动香港与全国高铁网络实现互联互通，支持香港融入国家发展大局提供了法律保障。为支持和推动相关领域改革在法治轨道上有序进行，本次会议还统筹修改了招标投标法、计量法，取消部分行政审批事项，完善相关行政审批程序；通过决定，延长授权国务院在部分地区开展农村土地制度改革相关试点工作的期限；总结司法改革试点经验，审议法官法、检察官法修订草案和人民陪审员法草案，听取和审议“两高”刑事案件认罪认罚试点工作中期报告。</w:t>
      </w:r>
    </w:p>
    <w:p>
      <w:pPr>
        <w:spacing w:line="360" w:lineRule="auto"/>
        <w:rPr>
          <w:rStyle w:val="13"/>
          <w:rFonts w:ascii="华文楷体" w:hAnsi="华文楷体" w:eastAsia="华文楷体" w:cs="华文楷体"/>
          <w:b w:val="0"/>
          <w:bCs/>
          <w:color w:val="000000"/>
          <w:shd w:val="clear" w:color="auto" w:fill="FFFFFF"/>
        </w:rPr>
      </w:pP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本次会议对英雄烈士保护法草案进行了初次审议。英雄烈士是中华民族的杰出代表，英雄烈士的事迹和精神是中华民族共同的历史记忆和宝贵的精神财富。习近平总书记对英雄烈士保护立法作出重要批示。全国人大代表和各界群众多次建议通过立法加强英雄烈士保护。常委会认真贯彻习近平总书记重要批示精神，积极回应全国人大代表和人民群众关切，及时启动英雄烈士保护法立法工作。这也是本届全国人大及其常委会继通过设立烈士纪念日的决定、在民法总则中对损害英烈人格权益的民事责任作出专门规定之后，再次以国家立法形式维护英雄烈士的尊严。审议中，常委会组成人员强调，要进一步修改完善好法律草案，加强对英雄烈士名誉荣誉的法律保护，明确禁止并坚决回击丑化、诋毁、侮辱、诽谤英雄烈士的恶劣行为，在全社会弘扬传承英雄烈士精神和爱国主义精神，激发实现中华民族伟大复兴中国梦的强大精神力量。</w:t>
      </w:r>
    </w:p>
    <w:p>
      <w:pPr>
        <w:spacing w:line="360" w:lineRule="auto"/>
        <w:rPr>
          <w:rStyle w:val="13"/>
          <w:rFonts w:ascii="华文楷体" w:hAnsi="华文楷体" w:eastAsia="华文楷体" w:cs="华文楷体"/>
          <w:b w:val="0"/>
          <w:bCs/>
          <w:color w:val="000000"/>
          <w:shd w:val="clear" w:color="auto" w:fill="FFFFFF"/>
        </w:rPr>
      </w:pP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本次会议听取审议了两个财政预算方面的报告。一是自2015年以来，第3次听取审议国务院关于审计查出问题整改情况的报告。常委会组成人员指出，从整改情况看，国务院高度重视、措施得力，效果一年比一年好，问题整改率达到95%。希望国务院及有关方面全面落实整改任务，明确整改责任，加大整改力度，增强整改透明度，对违纪违法的事项，要严肃依法执纪问责。二是听取审议国务院关于国家财政教育资金分配和使用情况的报告。这是本届常委会第4次对特定领域财政资金的使用情况开展监督，使人大预算监督更有深度、更具力度。常委会组成人员强调，要把教育作为财政投入的重点领域予以保障，不断优化支出结构，建立健全教育成本合理分担机制，强化对教育资金的管理和监督，更好发挥教育投入支撑国家长远发展的基础性、战略性作用。</w:t>
      </w:r>
    </w:p>
    <w:p>
      <w:pPr>
        <w:spacing w:line="360" w:lineRule="auto"/>
        <w:rPr>
          <w:rStyle w:val="13"/>
          <w:rFonts w:ascii="华文楷体" w:hAnsi="华文楷体" w:eastAsia="华文楷体" w:cs="华文楷体"/>
          <w:b w:val="0"/>
          <w:bCs/>
          <w:color w:val="000000"/>
          <w:shd w:val="clear" w:color="auto" w:fill="FFFFFF"/>
        </w:rPr>
      </w:pP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中华民族拥有五千年的悠久历史，创造了丰富多彩、弥足珍贵的文化遗产。党中央高度重视文化遗产工作。习近平总书记多次就保护弘扬中华优秀传统文化发表重要讲话，作出重要指示。国务院贯彻落实党中央决策部署，认真实施文物保护法、非物质文化遗产法等法律，推动文化遗产保护利用和传承发展。本次会议听取审议了国务院关于文化遗产工作情况的报告，常委会组成人员对工作成效予以充分肯定。同时指出，与建设社会主义文化强国、提高国家文化软实力的目标要求相比，我国文化遗产工作还有一定差距。希望有关方面深入贯彻党的十九大报告关于坚定文化自信、推动社会主义文化繁荣兴盛的决策部署，切实加强文化遗产保护传承，坚持保护为主、抢救第一，坚持创造性转化、创新性发展，多措并举让文化遗产“活”起来，让中华文化展现出永久魅力和时代风采。</w:t>
      </w:r>
    </w:p>
    <w:p>
      <w:pPr>
        <w:spacing w:line="360" w:lineRule="auto"/>
        <w:rPr>
          <w:rStyle w:val="13"/>
          <w:rFonts w:ascii="华文楷体" w:hAnsi="华文楷体" w:eastAsia="华文楷体" w:cs="华文楷体"/>
          <w:b w:val="0"/>
          <w:bCs/>
          <w:color w:val="000000"/>
          <w:shd w:val="clear" w:color="auto" w:fill="FFFFFF"/>
        </w:rPr>
      </w:pP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网络安全事关国家长治久安，事关经济社会发展和人民群众福祉。常委会制定的网络安全法，是网络安全领域的基础性法律，于今年6月1日开始施行。法律实施不满3个月，常委会就对网络安全法和加强网络信息保护的决定开展执法检查，这在常委会监督工作中尚属首次，主要目的是以执法检查为抓手，推动法律全面有效实施。王胜俊、王晨、沈跃跃、张平、万鄂湘、陈竺等6位副委员长分别带队，赴内蒙古、黑龙江、福建、河南、广东、重庆等6个省(区、市)实地检查，同时委托12个省(区、市)人大常委会进行自查。这次检查注重发挥专业机构和专业人员的作用，聘请21名网络安全专家参加，委托第三方机构对120个重要信息系统进行漏洞扫描和模拟攻击，出具专业检测报告，提高了执法检查的专业性和实效性，为丰富、完善、创新执法检查工作积累了新经验。本次会议听取审议了执法检查报告。常委会组成人员充分肯定执法检查组的工作，普遍赞成执法检查报告。大家认为，国务院和地方各级政府认真实施“一法一决定”，大力推进网络安全和网络信息保护工作，取得了积极成效。但也存在基础建设薄弱、风险隐患突出、个人信息保护形势严峻等问题。大家强调，要树立正确的网络安全观，进一步加强法律宣传，增强全社会网络安全意识，抓紧配套法规政策制定，着力提升网络空间治理水平，切实维护国家网络空间安全和人民群众合法权益。</w:t>
      </w:r>
    </w:p>
    <w:p>
      <w:pPr>
        <w:spacing w:line="360" w:lineRule="auto"/>
        <w:rPr>
          <w:rStyle w:val="13"/>
          <w:rFonts w:ascii="华文楷体" w:hAnsi="华文楷体" w:eastAsia="华文楷体" w:cs="华文楷体"/>
          <w:b w:val="0"/>
          <w:bCs/>
          <w:color w:val="000000"/>
          <w:shd w:val="clear" w:color="auto" w:fill="FFFFFF"/>
        </w:rPr>
      </w:pP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对规范性文件开展备案审查，是符合中国国情、具有中国特色的一项宪法性制度设计。本届常委会将开展备案审查作为履行宪法监督职责的重要工作，建立健全备案审查工作机制和衔接联动机制，开通运行全国统一的备案审查信息平台，着力加强备案审查制度和能力建设。对报送备案的行政法规、司法解释逐件进行主动审查，对地方性法规有重点地开展专项审查，对公民和组织提出的审查建议逐一认真研究，对审查中发现与宪法法律相抵触或者不适当的问题，积极督促纠正，妥善作出处理。本次会议听取审议了法制工作委员会关于备案审查工作情况的报告，这在全国人大常委会工作中还是第一次，开了一个好头。要认真总结经验，形成制度，坚持下去。党的十九大报告对加强宪法实施和监督作出了新的部署。我们要贯彻落实党的十九大精神，推进合宪性审查工作，按照“有件必备、有备必审、有错必究”的要求，进一步加强和改进备案审查，保证中央令行禁止，保证宪法法律实施，维护国家法制统一。</w:t>
      </w:r>
    </w:p>
    <w:p>
      <w:pPr>
        <w:spacing w:line="360" w:lineRule="auto"/>
        <w:rPr>
          <w:rStyle w:val="13"/>
          <w:rFonts w:ascii="华文楷体" w:hAnsi="华文楷体" w:eastAsia="华文楷体" w:cs="华文楷体"/>
          <w:b w:val="0"/>
          <w:bCs/>
          <w:color w:val="000000"/>
          <w:shd w:val="clear" w:color="auto" w:fill="FFFFFF"/>
        </w:rPr>
      </w:pP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审议代表议案和办理代表建议，是国家机关的法定职责。最近的两次常委会会议相继审议通过了8个专门委员会关于代表议案审议结果的报告，本次会议听取了全国人大常委会办公厅、科学技术部关于代表建议办理情况的报告，17家单位提交了建议办理情况书面报告。从报告的情况看，各专门委员会、各建议承办单位高度重视，把审议议案、办理建议与转变作风、联系群众、改进工作结合起来，审议和办理实效进一步提高。目前，十二届全国人大五次会议主席团交付审议的514件代表议案的审议工作，代表提出的8360件建议的办理工作，已经全部完成。</w:t>
      </w:r>
    </w:p>
    <w:p>
      <w:pPr>
        <w:spacing w:line="360" w:lineRule="auto"/>
        <w:rPr>
          <w:rStyle w:val="13"/>
          <w:rFonts w:ascii="华文楷体" w:hAnsi="华文楷体" w:eastAsia="华文楷体" w:cs="华文楷体"/>
          <w:b w:val="0"/>
          <w:bCs/>
          <w:color w:val="000000"/>
          <w:shd w:val="clear" w:color="auto" w:fill="FFFFFF"/>
        </w:rPr>
      </w:pPr>
    </w:p>
    <w:p>
      <w:pPr>
        <w:spacing w:line="360" w:lineRule="auto"/>
        <w:ind w:firstLine="480"/>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会议期间，常委会组成人员和列席会议同志对有关法律草案提出的意见建议，请法律委员会会同有关方面认真研究，进一步修改完善相关法律草案；对有关报告提出的意见建议，请常委会办公厅汇总整理成《审议意见》，送“一府两院”及有关部门研究改进工作参考。</w:t>
      </w:r>
    </w:p>
    <w:p>
      <w:pPr>
        <w:spacing w:line="360" w:lineRule="auto"/>
        <w:ind w:firstLine="480"/>
        <w:rPr>
          <w:rStyle w:val="13"/>
          <w:rFonts w:ascii="华文楷体" w:hAnsi="华文楷体" w:eastAsia="华文楷体" w:cs="华文楷体"/>
          <w:b w:val="0"/>
          <w:bCs/>
          <w:color w:val="000000"/>
          <w:shd w:val="clear" w:color="auto" w:fill="FFFFFF"/>
        </w:rPr>
      </w:pP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各位委员、各位同志，前不久召开的中央经济工作会议，是全面贯彻落实党的十九大精神的一次十分重要的会议。习近平总书记发表重要讲话，深刻分析国内国际形势，对明年经济工作作出全面部署。我们要深入学习贯彻习近平新时代中国特色社会主义经济思想，自觉维护习近平总书记权威和核心地位，自觉维护以习近平同志为核心的党中央权威和集中统一领导，把党中央关于经济工作的决策部署切实贯彻到人大立法、监督等工作中，依法履职尽责，确保中央令行禁止，更好推动国家各项事业发展。</w:t>
      </w:r>
    </w:p>
    <w:p>
      <w:pPr>
        <w:spacing w:line="360" w:lineRule="auto"/>
        <w:rPr>
          <w:rStyle w:val="13"/>
          <w:rFonts w:ascii="华文楷体" w:hAnsi="华文楷体" w:eastAsia="华文楷体" w:cs="华文楷体"/>
          <w:b w:val="0"/>
          <w:bCs/>
          <w:color w:val="000000"/>
          <w:shd w:val="clear" w:color="auto" w:fill="FFFFFF"/>
        </w:rPr>
      </w:pP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当前，要着重做好三个方面的工作:</w:t>
      </w:r>
      <w:r>
        <w:rPr>
          <w:rStyle w:val="13"/>
          <w:rFonts w:hint="eastAsia" w:ascii="华文楷体" w:hAnsi="华文楷体" w:eastAsia="华文楷体" w:cs="华文楷体"/>
          <w:color w:val="000000"/>
          <w:shd w:val="clear" w:color="auto" w:fill="FFFFFF"/>
        </w:rPr>
        <w:t>一是扎实做好十三届全国人大代表选举工作。</w:t>
      </w:r>
      <w:r>
        <w:rPr>
          <w:rStyle w:val="13"/>
          <w:rFonts w:hint="eastAsia" w:ascii="华文楷体" w:hAnsi="华文楷体" w:eastAsia="华文楷体" w:cs="华文楷体"/>
          <w:b w:val="0"/>
          <w:bCs/>
          <w:color w:val="000000"/>
          <w:shd w:val="clear" w:color="auto" w:fill="FFFFFF"/>
        </w:rPr>
        <w:t>坚持党的领导、充分发扬民主、严格依法办事，深刻汲取辽宁拉票贿选案、湖南衡阳破坏选举案教训，严密防范措施，严明纪律规矩，加强代表资格审查，确保代表选举稳妥有序、风清气正。</w:t>
      </w:r>
      <w:r>
        <w:rPr>
          <w:rStyle w:val="13"/>
          <w:rFonts w:hint="eastAsia" w:ascii="华文楷体" w:hAnsi="华文楷体" w:eastAsia="华文楷体" w:cs="华文楷体"/>
          <w:color w:val="000000"/>
          <w:shd w:val="clear" w:color="auto" w:fill="FFFFFF"/>
        </w:rPr>
        <w:t>二是认真组织筹备十三届全国人大一次会议。</w:t>
      </w:r>
      <w:r>
        <w:rPr>
          <w:rStyle w:val="13"/>
          <w:rFonts w:hint="eastAsia" w:ascii="华文楷体" w:hAnsi="华文楷体" w:eastAsia="华文楷体" w:cs="华文楷体"/>
          <w:b w:val="0"/>
          <w:bCs/>
          <w:color w:val="000000"/>
          <w:shd w:val="clear" w:color="auto" w:fill="FFFFFF"/>
        </w:rPr>
        <w:t>抓紧起草、修改完善各项草案和报告，提前将会议材料送代表审阅讨论，加强与有关方面的沟通协调，突出抓好会风会纪，提出并落实改进大会会风的具体措施，确保大会顺利召开。</w:t>
      </w:r>
      <w:r>
        <w:rPr>
          <w:rStyle w:val="13"/>
          <w:rFonts w:hint="eastAsia" w:ascii="华文楷体" w:hAnsi="华文楷体" w:eastAsia="华文楷体" w:cs="华文楷体"/>
          <w:color w:val="000000"/>
          <w:shd w:val="clear" w:color="auto" w:fill="FFFFFF"/>
        </w:rPr>
        <w:t>三是努力保持工作的连续性和稳定性。</w:t>
      </w:r>
      <w:r>
        <w:rPr>
          <w:rStyle w:val="13"/>
          <w:rFonts w:hint="eastAsia" w:ascii="华文楷体" w:hAnsi="华文楷体" w:eastAsia="华文楷体" w:cs="华文楷体"/>
          <w:b w:val="0"/>
          <w:bCs/>
          <w:color w:val="000000"/>
          <w:shd w:val="clear" w:color="auto" w:fill="FFFFFF"/>
        </w:rPr>
        <w:t>各专门委员会、工作委员会和常委会办事机构要根据委员长会议原则通过的“一个要点、两个计划”，对明年工作作出预安排，为新一届全国人大及其常委会依法履职创造良好条件。</w:t>
      </w:r>
    </w:p>
    <w:p>
      <w:pPr>
        <w:spacing w:line="360" w:lineRule="auto"/>
        <w:rPr>
          <w:rStyle w:val="13"/>
          <w:rFonts w:ascii="华文楷体" w:hAnsi="华文楷体" w:eastAsia="华文楷体" w:cs="华文楷体"/>
          <w:b w:val="0"/>
          <w:bCs/>
          <w:color w:val="000000"/>
          <w:shd w:val="clear" w:color="auto" w:fill="FFFFFF"/>
        </w:rPr>
      </w:pPr>
    </w:p>
    <w:p>
      <w:pPr>
        <w:spacing w:line="360" w:lineRule="auto"/>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hd w:val="clear" w:color="auto" w:fill="FFFFFF"/>
        </w:rPr>
        <w:t xml:space="preserve">    再过几天就是2018年元旦。借此机会，我代表委员长会议组成人员，向在座的各位委员、各位同志，向全国人大代表和地方各级人大代表，向全国人大机关和地方各级人大机关工作人员，向所有关心和支持人大工作的各界人士，致以节日的问候和新年的祝福!</w:t>
      </w:r>
    </w:p>
    <w:p>
      <w:pPr>
        <w:spacing w:line="360" w:lineRule="auto"/>
        <w:jc w:val="right"/>
        <w:rPr>
          <w:rStyle w:val="13"/>
          <w:rFonts w:ascii="华文楷体" w:hAnsi="华文楷体" w:eastAsia="华文楷体" w:cs="华文楷体"/>
          <w:b w:val="0"/>
          <w:bCs/>
          <w:color w:val="000000"/>
          <w:shd w:val="clear" w:color="auto" w:fill="FFFFFF"/>
        </w:rPr>
      </w:pPr>
      <w:r>
        <w:rPr>
          <w:rStyle w:val="13"/>
          <w:rFonts w:hint="eastAsia" w:ascii="华文楷体" w:hAnsi="华文楷体" w:eastAsia="华文楷体" w:cs="华文楷体"/>
          <w:b w:val="0"/>
          <w:bCs/>
          <w:color w:val="000000"/>
          <w:sz w:val="22"/>
          <w:szCs w:val="22"/>
          <w:shd w:val="clear" w:color="auto" w:fill="FFFFFF"/>
        </w:rPr>
        <w:t>责任编辑： 王伟</w:t>
      </w:r>
    </w:p>
    <w:p>
      <w:pPr>
        <w:spacing w:line="360" w:lineRule="auto"/>
        <w:jc w:val="center"/>
        <w:rPr>
          <w:rStyle w:val="13"/>
          <w:rFonts w:hint="eastAsia" w:ascii="华文宋体" w:hAnsi="华文宋体" w:eastAsia="华文宋体" w:cs="华文宋体"/>
          <w:color w:val="000000"/>
          <w:shd w:val="clear" w:color="auto" w:fill="FFFFFF"/>
        </w:rPr>
      </w:pPr>
      <w:bookmarkStart w:id="8" w:name="李克强主持召开国务院常务会议部署进一步优化营商环境等"/>
    </w:p>
    <w:p>
      <w:pPr>
        <w:spacing w:line="360" w:lineRule="auto"/>
        <w:jc w:val="center"/>
        <w:rPr>
          <w:rStyle w:val="13"/>
          <w:rFonts w:ascii="华文宋体" w:hAnsi="华文宋体" w:eastAsia="华文宋体" w:cs="华文宋体"/>
          <w:color w:val="000000"/>
          <w:shd w:val="clear" w:color="auto" w:fill="FFFFFF"/>
        </w:rPr>
      </w:pPr>
      <w:r>
        <w:rPr>
          <w:rStyle w:val="13"/>
          <w:rFonts w:hint="eastAsia" w:ascii="华文宋体" w:hAnsi="华文宋体" w:eastAsia="华文宋体" w:cs="华文宋体"/>
          <w:color w:val="000000"/>
          <w:shd w:val="clear" w:color="auto" w:fill="FFFFFF"/>
        </w:rPr>
        <w:t>李克强主持召开国务院常务会议 部署进一步优化营商环境等</w:t>
      </w:r>
    </w:p>
    <w:bookmarkEnd w:id="8"/>
    <w:p>
      <w:pPr>
        <w:spacing w:line="360" w:lineRule="auto"/>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2018-01-03   来源： 中国政府网</w:t>
      </w:r>
    </w:p>
    <w:p>
      <w:pPr>
        <w:spacing w:line="360" w:lineRule="auto"/>
        <w:jc w:val="center"/>
        <w:rPr>
          <w:rStyle w:val="13"/>
          <w:rFonts w:ascii="华文宋体" w:hAnsi="华文宋体" w:eastAsia="华文宋体" w:cs="华文宋体"/>
          <w:b w:val="0"/>
          <w:bCs/>
          <w:color w:val="000000"/>
          <w:sz w:val="20"/>
          <w:szCs w:val="20"/>
          <w:shd w:val="clear" w:color="auto" w:fill="FFFFFF"/>
        </w:rPr>
      </w:pPr>
    </w:p>
    <w:p>
      <w:pPr>
        <w:spacing w:line="360" w:lineRule="auto"/>
        <w:jc w:val="center"/>
        <w:rPr>
          <w:rFonts w:ascii="楷体" w:hAnsi="楷体" w:eastAsia="楷体" w:cs="楷体"/>
          <w:b/>
          <w:color w:val="800000"/>
          <w:sz w:val="22"/>
          <w:szCs w:val="22"/>
          <w:shd w:val="clear" w:color="auto" w:fill="FFFFFF"/>
        </w:rPr>
      </w:pPr>
      <w:r>
        <w:rPr>
          <w:rFonts w:hint="eastAsia" w:ascii="宋体" w:hAnsi="宋体" w:eastAsia="宋体" w:cs="宋体"/>
          <w:b/>
          <w:color w:val="800000"/>
          <w:sz w:val="22"/>
          <w:szCs w:val="22"/>
          <w:shd w:val="clear" w:color="auto" w:fill="FFFFFF"/>
        </w:rPr>
        <w:t>李克强主持召开国务院常务会议</w:t>
      </w:r>
      <w:r>
        <w:rPr>
          <w:rFonts w:hint="eastAsia" w:ascii="宋体" w:hAnsi="宋体" w:eastAsia="宋体" w:cs="宋体"/>
          <w:b/>
          <w:color w:val="800000"/>
          <w:sz w:val="22"/>
          <w:szCs w:val="22"/>
          <w:shd w:val="clear" w:color="auto" w:fill="FFFFFF"/>
        </w:rPr>
        <w:br w:type="textWrapping"/>
      </w:r>
      <w:r>
        <w:rPr>
          <w:rFonts w:ascii="楷体" w:hAnsi="楷体" w:eastAsia="楷体" w:cs="楷体"/>
          <w:b/>
          <w:color w:val="800000"/>
          <w:sz w:val="22"/>
          <w:szCs w:val="22"/>
          <w:shd w:val="clear" w:color="auto" w:fill="FFFFFF"/>
        </w:rPr>
        <w:t>部署进一步优化营商环境 持续激发市场活力和社会创造力</w:t>
      </w:r>
      <w:r>
        <w:rPr>
          <w:rFonts w:hint="eastAsia" w:ascii="楷体" w:hAnsi="楷体" w:eastAsia="楷体" w:cs="楷体"/>
          <w:b/>
          <w:color w:val="800000"/>
          <w:sz w:val="22"/>
          <w:szCs w:val="22"/>
          <w:shd w:val="clear" w:color="auto" w:fill="FFFFFF"/>
        </w:rPr>
        <w:br w:type="textWrapping"/>
      </w:r>
      <w:r>
        <w:rPr>
          <w:rFonts w:hint="eastAsia" w:ascii="楷体" w:hAnsi="楷体" w:eastAsia="楷体" w:cs="楷体"/>
          <w:b/>
          <w:color w:val="800000"/>
          <w:sz w:val="22"/>
          <w:szCs w:val="22"/>
          <w:shd w:val="clear" w:color="auto" w:fill="FFFFFF"/>
        </w:rPr>
        <w:t>确定加大支持基础科学研究的措施 提升原始创新能力</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国务院总理李克强1月3日主持召开国务院常务会议，部署进一步优化营商环境，持续激发市场活力和社会创造力；确定加大支持基础科学研究的措施，提升原始创新能力。</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会议指出，优化营商环境就是解放生产力、提高综合竞争力。按照党的十九大和中央经济工作会议精神，改革创新体制机制，进一步优化营商环境，是建设现代化经济体系、促进高质量发展的重要基础，也是政府提供公共服务的重要内容。近年来，各地区各部门按照党中央、国务院部署，大力改善营商环境，取得积极进展，但仍有不少“短板”。必须针对市场和企业反映的突出问题，以深化“放管服”改革为抓手，多推“啃硬骨头”的举措。软硬环境都重要，硬环境要继续改善，更要在软环境建设上不断有新突破，让企业和群众更多受益。一要以简政减税减费为重点进一步优化营商环境。对企业开办、纳税、施工许可、水电气报装、不动产登记等事项大幅精简审批、压缩办理时间。进一步清理取消经营服务性收费和行业协会商会收费，降低通关环节费用。大力推动降电价。促进“证照分离”改革扩容提速。以“双随机一公开”为原则，积极推进综合监管和检查信息公开。加快建立以信用承诺、信息公示为特点的新型监管机制，制定失信守信黑红名单及管理办法并向社会公布。二要严格依法平等保护各类产权，加大知识产权保护力度。政府要严守承诺，不能新官不理旧账、对企业不公平对待或搞地方保护。保障不同所有制企业在资质许可、政府采购、科技项目、标准制定等方面公平待遇，坚决查处滥用行政权力排除和限制竞争的行为。全面实施市场准入负面清单制度，在全国推行外商投资企业商务备案和工商登记“单一窗口、单一表格”。三要借鉴国际经验，抓紧建立营商环境评价机制，逐步在全国推行。会议决定，坚持问题导向、突出重点，对提升办理建筑许可和跨境贸易便利度开展专项行动。实行规划、消防、环保等部门并联限时审批，简化施工许可等手续。对跨境贸易建立跨部门一次性联合检查机制。打造国际化、法治化营商环境，为企业和群众提供办事便利，进一步激发市场活力和大众创业、万众创新深厚潜力。</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会议指出，通过深化科技体制改革，加强基础科学研究，提升原始创新能力，是实施创新驱动发展战略、建设创新型国家的重要举措。一要从教育抓起，潜心加强基础科学研究，对数学等重点基础学科给予更多倾斜。二要促进基础科学与应用研究融通，既要重视原创性、颠覆性的发明创造，也要力推智能制造、信息技术、现代农业、资源环境等重点领域应用技术创新。三要加大体制机制创新，采取政府引导、税收杠杆等方式，激励企业和社会力量加大基础研究投入。以重大项目攻关为中心集聚创新资源，探索开展基础研究众包众筹众创，推动重大科研数据、设施、装备等创新资源向社会开放共享。四要支持高校和科研院所自主布局基础研究，扩大科研人员研究选题选择权，完善以创新质量和学术贡献为核心的评价机制，建立容错机制，鼓励自由探索、挑战未知。五要多方引才引智。加大国际科研合作，大力培养和引进战略科技人才，加大中青年人才储备，稳定支持优秀创新团队持续从事基础科学研究，支持海外专家牵头或参与实施国家科技项目。</w:t>
      </w:r>
    </w:p>
    <w:p>
      <w:pPr>
        <w:spacing w:line="360" w:lineRule="auto"/>
        <w:ind w:firstLine="480" w:firstLineChars="200"/>
        <w:rPr>
          <w:rFonts w:ascii="华文楷体" w:hAnsi="华文楷体" w:eastAsia="华文楷体" w:cs="华文楷体"/>
          <w:bCs/>
          <w:sz w:val="22"/>
          <w:szCs w:val="22"/>
          <w:shd w:val="clear" w:color="auto" w:fill="FFFFFF"/>
        </w:rPr>
      </w:pPr>
      <w:r>
        <w:rPr>
          <w:rFonts w:hint="eastAsia" w:ascii="华文楷体" w:hAnsi="华文楷体" w:eastAsia="华文楷体" w:cs="华文楷体"/>
          <w:bCs/>
          <w:shd w:val="clear" w:color="auto" w:fill="FFFFFF"/>
        </w:rPr>
        <w:t xml:space="preserve">会议还研究了其他事项。                            </w:t>
      </w:r>
      <w:r>
        <w:rPr>
          <w:rFonts w:hint="eastAsia" w:ascii="华文楷体" w:hAnsi="华文楷体" w:eastAsia="华文楷体" w:cs="华文楷体"/>
          <w:bCs/>
          <w:sz w:val="22"/>
          <w:szCs w:val="22"/>
          <w:shd w:val="clear" w:color="auto" w:fill="FFFFFF"/>
        </w:rPr>
        <w:t>责任编辑：方圆震</w:t>
      </w:r>
    </w:p>
    <w:p>
      <w:pPr>
        <w:spacing w:line="360" w:lineRule="auto"/>
        <w:jc w:val="center"/>
        <w:rPr>
          <w:rFonts w:ascii="华文宋体" w:hAnsi="华文宋体" w:eastAsia="华文宋体" w:cs="华文宋体"/>
          <w:b/>
          <w:shd w:val="clear" w:color="auto" w:fill="FFFFFF"/>
        </w:rPr>
      </w:pPr>
      <w:bookmarkStart w:id="9" w:name="中国人民银行行长周小川新年致辞"/>
      <w:r>
        <w:rPr>
          <w:rFonts w:hint="eastAsia" w:ascii="华文宋体" w:hAnsi="华文宋体" w:eastAsia="华文宋体" w:cs="华文宋体"/>
          <w:b/>
          <w:shd w:val="clear" w:color="auto" w:fill="FFFFFF"/>
        </w:rPr>
        <w:t>中国人民银行行长周小川新年致辞</w:t>
      </w:r>
    </w:p>
    <w:bookmarkEnd w:id="9"/>
    <w:p>
      <w:pPr>
        <w:spacing w:line="360" w:lineRule="auto"/>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 xml:space="preserve">2017年12月31日 </w:t>
      </w:r>
      <w:r>
        <w:rPr>
          <w:rFonts w:hint="eastAsia" w:ascii="宋体" w:hAnsi="宋体" w:eastAsia="宋体" w:cs="宋体"/>
          <w:color w:val="000000"/>
          <w:sz w:val="18"/>
          <w:szCs w:val="18"/>
          <w:shd w:val="clear" w:color="auto" w:fill="FFFFFF"/>
          <w:lang w:val="en-US" w:eastAsia="zh-CN"/>
        </w:rPr>
        <w:t xml:space="preserve"> </w:t>
      </w:r>
      <w:r>
        <w:rPr>
          <w:rFonts w:hint="eastAsia" w:ascii="宋体" w:hAnsi="宋体" w:eastAsia="宋体" w:cs="宋体"/>
          <w:color w:val="000000"/>
          <w:sz w:val="18"/>
          <w:szCs w:val="18"/>
          <w:shd w:val="clear" w:color="auto" w:fill="FFFFFF"/>
        </w:rPr>
        <w:t>文章来源：沟通交流</w:t>
      </w:r>
      <w:r>
        <w:rPr>
          <w:rFonts w:hint="eastAsia" w:ascii="宋体" w:hAnsi="宋体" w:eastAsia="宋体" w:cs="宋体"/>
          <w:color w:val="000000"/>
          <w:sz w:val="18"/>
          <w:szCs w:val="18"/>
          <w:shd w:val="clear" w:color="auto" w:fill="FFFFFF"/>
          <w:lang w:eastAsia="zh-CN"/>
        </w:rPr>
        <w:t>、中国人民银行</w:t>
      </w:r>
    </w:p>
    <w:p>
      <w:pPr>
        <w:spacing w:line="360" w:lineRule="auto"/>
        <w:ind w:firstLine="360" w:firstLineChars="200"/>
        <w:jc w:val="center"/>
        <w:rPr>
          <w:rFonts w:ascii="华文宋体" w:hAnsi="华文宋体" w:eastAsia="华文宋体" w:cs="华文宋体"/>
          <w:bCs/>
          <w:sz w:val="18"/>
          <w:szCs w:val="18"/>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一元复始，万象更新。我们即将迎来新年的钟声。在这辞旧迎新的时刻，我谨代表中国人民银行党委，向人民银行系统全体干部职工致以新年的问候和美好的祝福！向关心和支持中央银行工作的社会各界表示衷心的感谢！向节日期间仍坚守工作岗位的干部职工及其家属表示亲切的慰问！</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2017年,在我国金融业发展进程中具有极其重要的历史意义。党的十九大胜利召开，将习近平新时代中国特色社会主义思想确立为党必须长期坚持的指导思想，系统阐述了新时代坚持和发展中国特色社会主义的基本方略，对党和国家事业发展进行了全面部署。第五次全国金融工作会议充分肯定了党的十八大以来金融改革发展取得的新成就，阐明了做好金融工作的指导思想和重要原则，对金融工作做出了全面部署。中央经济工作会议对金融服务经济高质量发展提出了明确要求。人民银行系统干部职工深入学习贯彻习近平新时代中国特色社会主义思想，坚定不移地执行党中央、国务院的决策部署，坚持稳中求进工作总基调，坚持以推进供给侧结构性改革为主线，加强和完善宏观调控，全面深化金融改革开放，促进金融市场规范创新发展，改进金融管理和服务，切实防范系统性金融风险，推动金融服务实体经济，全面加强党的建设，中央银行各项工作取得新进展、再上新台阶，在促进国民经济持续健康发展、确保金融安全平稳运行中发挥了重要作用。</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2018年，是贯彻落实党的十九大精神的开局之年，是改革开放40周年，是决胜全面建成小康社会、实施“十三五”规划承上启下的关键一年，做好中央银行各项工作责任重大，任务艰巨。人民银行系统要继续深入学习贯彻党的十九大、全国金融工作会议和中央经济工作会议精神，以习近平新时代中国特色社会主义思想为指导，进一步强化“四个意识”，坚持新发展理念，紧扣我国社会主要矛盾变化，继续坚持稳中求进工作总基调，实施稳健的货币政策，保持货币信贷和社会融资规模合理增长。重点围绕打好决胜全面建成小康社会三大攻坚战，着力推动经济更高质量发展。认真履行国务院金融稳定发展委员会办公室职责，守住不发生系统性金融风险的底线。大力推动重点领域和关键环节的金融改革开放，提升金融服务能力和水平，促进经济金融持续健康发展，为实现中华民族伟大复兴中国梦贡献力量！</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祝大家新年快乐，万事如意，幸福安康！</w:t>
      </w:r>
    </w:p>
    <w:p>
      <w:pPr>
        <w:spacing w:line="360" w:lineRule="auto"/>
        <w:ind w:firstLine="480" w:firstLineChars="200"/>
        <w:jc w:val="righ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中国人民银行党委书记、行长：周小川</w:t>
      </w:r>
    </w:p>
    <w:p>
      <w:pPr>
        <w:spacing w:line="360" w:lineRule="auto"/>
        <w:ind w:firstLine="480" w:firstLineChars="200"/>
        <w:jc w:val="righ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2017年12月31日</w:t>
      </w:r>
    </w:p>
    <w:p>
      <w:pPr>
        <w:spacing w:line="360" w:lineRule="auto"/>
        <w:ind w:firstLine="480" w:firstLineChars="200"/>
        <w:jc w:val="right"/>
        <w:rPr>
          <w:rFonts w:ascii="华文楷体" w:hAnsi="华文楷体" w:eastAsia="华文楷体" w:cs="华文楷体"/>
          <w:bCs/>
          <w:shd w:val="clear" w:color="auto" w:fill="FFFFFF"/>
        </w:rPr>
      </w:pPr>
    </w:p>
    <w:p>
      <w:pPr>
        <w:spacing w:line="360" w:lineRule="auto"/>
        <w:ind w:firstLine="480" w:firstLineChars="200"/>
        <w:jc w:val="right"/>
        <w:rPr>
          <w:rFonts w:ascii="华文楷体" w:hAnsi="华文楷体" w:eastAsia="华文楷体" w:cs="华文楷体"/>
          <w:bCs/>
          <w:shd w:val="clear" w:color="auto" w:fill="FFFFFF"/>
        </w:rPr>
      </w:pPr>
    </w:p>
    <w:p>
      <w:pPr>
        <w:spacing w:line="360" w:lineRule="auto"/>
        <w:ind w:firstLine="480" w:firstLineChars="200"/>
        <w:jc w:val="right"/>
        <w:rPr>
          <w:rFonts w:ascii="华文楷体" w:hAnsi="华文楷体" w:eastAsia="华文楷体" w:cs="华文楷体"/>
          <w:bCs/>
          <w:shd w:val="clear" w:color="auto" w:fill="FFFFFF"/>
        </w:rPr>
      </w:pPr>
    </w:p>
    <w:p>
      <w:pPr>
        <w:spacing w:line="360" w:lineRule="auto"/>
        <w:ind w:firstLine="480" w:firstLineChars="200"/>
        <w:jc w:val="right"/>
        <w:rPr>
          <w:rFonts w:ascii="华文楷体" w:hAnsi="华文楷体" w:eastAsia="华文楷体" w:cs="华文楷体"/>
          <w:bCs/>
          <w:shd w:val="clear" w:color="auto" w:fill="FFFFFF"/>
        </w:rPr>
      </w:pPr>
    </w:p>
    <w:p>
      <w:pPr>
        <w:spacing w:line="360" w:lineRule="auto"/>
        <w:ind w:firstLine="480" w:firstLineChars="200"/>
        <w:jc w:val="right"/>
        <w:rPr>
          <w:rFonts w:ascii="华文楷体" w:hAnsi="华文楷体" w:eastAsia="华文楷体" w:cs="华文楷体"/>
          <w:bCs/>
          <w:shd w:val="clear" w:color="auto" w:fill="FFFFFF"/>
        </w:rPr>
      </w:pPr>
    </w:p>
    <w:p>
      <w:pPr>
        <w:spacing w:line="360" w:lineRule="auto"/>
        <w:ind w:firstLine="480" w:firstLineChars="200"/>
        <w:jc w:val="right"/>
        <w:rPr>
          <w:rFonts w:ascii="华文楷体" w:hAnsi="华文楷体" w:eastAsia="华文楷体" w:cs="华文楷体"/>
          <w:bCs/>
          <w:shd w:val="clear" w:color="auto" w:fill="FFFFFF"/>
        </w:rPr>
      </w:pPr>
    </w:p>
    <w:p>
      <w:pPr>
        <w:spacing w:line="360" w:lineRule="auto"/>
        <w:ind w:firstLine="480" w:firstLineChars="200"/>
        <w:jc w:val="right"/>
        <w:rPr>
          <w:rFonts w:ascii="华文楷体" w:hAnsi="华文楷体" w:eastAsia="华文楷体" w:cs="华文楷体"/>
          <w:bCs/>
          <w:shd w:val="clear" w:color="auto" w:fill="FFFFFF"/>
        </w:rPr>
      </w:pPr>
    </w:p>
    <w:p>
      <w:pPr>
        <w:spacing w:line="360" w:lineRule="auto"/>
        <w:ind w:firstLine="480" w:firstLineChars="200"/>
        <w:jc w:val="right"/>
        <w:rPr>
          <w:rFonts w:ascii="华文楷体" w:hAnsi="华文楷体" w:eastAsia="华文楷体" w:cs="华文楷体"/>
          <w:bCs/>
          <w:shd w:val="clear" w:color="auto" w:fill="FFFFFF"/>
        </w:rPr>
      </w:pPr>
    </w:p>
    <w:p>
      <w:pPr>
        <w:spacing w:line="360" w:lineRule="auto"/>
        <w:ind w:firstLine="480" w:firstLineChars="200"/>
        <w:jc w:val="right"/>
        <w:rPr>
          <w:rFonts w:ascii="华文楷体" w:hAnsi="华文楷体" w:eastAsia="华文楷体" w:cs="华文楷体"/>
          <w:bCs/>
          <w:shd w:val="clear" w:color="auto" w:fill="FFFFFF"/>
        </w:rPr>
      </w:pPr>
    </w:p>
    <w:p>
      <w:pPr>
        <w:spacing w:line="360" w:lineRule="auto"/>
        <w:ind w:firstLine="480" w:firstLineChars="200"/>
        <w:jc w:val="right"/>
        <w:rPr>
          <w:rFonts w:ascii="华文楷体" w:hAnsi="华文楷体" w:eastAsia="华文楷体" w:cs="华文楷体"/>
          <w:bCs/>
          <w:shd w:val="clear" w:color="auto" w:fill="FFFFFF"/>
        </w:rPr>
      </w:pPr>
    </w:p>
    <w:p>
      <w:pPr>
        <w:spacing w:line="360" w:lineRule="auto"/>
        <w:ind w:firstLine="480" w:firstLineChars="200"/>
        <w:jc w:val="right"/>
        <w:rPr>
          <w:rFonts w:ascii="华文楷体" w:hAnsi="华文楷体" w:eastAsia="华文楷体" w:cs="华文楷体"/>
          <w:bCs/>
          <w:shd w:val="clear" w:color="auto" w:fill="FFFFFF"/>
        </w:rPr>
      </w:pPr>
    </w:p>
    <w:p>
      <w:pPr>
        <w:spacing w:line="360" w:lineRule="auto"/>
        <w:ind w:firstLine="480" w:firstLineChars="200"/>
        <w:jc w:val="center"/>
        <w:rPr>
          <w:rFonts w:ascii="华文宋体" w:hAnsi="华文宋体" w:eastAsia="华文宋体" w:cs="华文宋体"/>
          <w:b/>
          <w:shd w:val="clear" w:color="auto" w:fill="FFFFFF"/>
        </w:rPr>
      </w:pPr>
      <w:bookmarkStart w:id="10" w:name="进一步完善人民币跨境业务政策促进贸易投资便利化"/>
      <w:r>
        <w:rPr>
          <w:rFonts w:hint="eastAsia" w:ascii="华文宋体" w:hAnsi="华文宋体" w:eastAsia="华文宋体" w:cs="华文宋体"/>
          <w:b/>
          <w:shd w:val="clear" w:color="auto" w:fill="FFFFFF"/>
        </w:rPr>
        <w:t>进一步完善人民币跨境业务政策 促进贸易投资便利化</w:t>
      </w:r>
    </w:p>
    <w:bookmarkEnd w:id="10"/>
    <w:p>
      <w:pPr>
        <w:spacing w:line="360" w:lineRule="auto"/>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2018年1月5日</w:t>
      </w:r>
      <w:r>
        <w:rPr>
          <w:rFonts w:hint="eastAsia" w:ascii="宋体" w:hAnsi="宋体" w:eastAsia="宋体" w:cs="宋体"/>
          <w:color w:val="000000"/>
          <w:sz w:val="18"/>
          <w:szCs w:val="18"/>
          <w:shd w:val="clear" w:color="auto" w:fill="FFFFFF"/>
          <w:lang w:val="en-US" w:eastAsia="zh-CN"/>
        </w:rPr>
        <w:t xml:space="preserve"> </w:t>
      </w:r>
      <w:r>
        <w:rPr>
          <w:rFonts w:hint="eastAsia" w:ascii="宋体" w:hAnsi="宋体" w:eastAsia="宋体" w:cs="宋体"/>
          <w:color w:val="000000"/>
          <w:sz w:val="18"/>
          <w:szCs w:val="18"/>
          <w:shd w:val="clear" w:color="auto" w:fill="FFFFFF"/>
        </w:rPr>
        <w:t xml:space="preserve"> 文章来源：沟通交流</w:t>
      </w:r>
      <w:r>
        <w:rPr>
          <w:rFonts w:hint="eastAsia" w:ascii="宋体" w:hAnsi="宋体" w:eastAsia="宋体" w:cs="宋体"/>
          <w:color w:val="000000"/>
          <w:sz w:val="18"/>
          <w:szCs w:val="18"/>
          <w:shd w:val="clear" w:color="auto" w:fill="FFFFFF"/>
          <w:lang w:eastAsia="zh-CN"/>
        </w:rPr>
        <w:t>、中国人民银行</w:t>
      </w: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为贯彻落实《国务院关于促进外贸增长若干措施的通知》（国发[2017]39号），完善和优化人民币跨境业务政策，营造优良营商环境，服务“一带一路”建设，推动形成全面开放新格局，日前，中国人民银行发布了《关于进一步完善人民币跨境业务政策促进贸易投资便利化的通知》（以下简称《通知》）。</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通知》坚持人民币跨境业务“服务实体经济、促进贸易投资便利化”的导向，进一步完善和优化人民币跨境业务政策，满足市场合理需求。主要内容：一是明确凡依法可使用外汇结算的跨境交易，企业都可以使用人民币结算。支持银行以服务实体经济、促进贸易投资便利化为导向，按照现有人民币跨境业务政策创新金融产品，提升金融服务能力，满足市场主体真实、合规的人民币跨境业务需求。二是为服务“一带一路”建设，满足个人项下雇员报酬、社会福利、赡家款等人民币跨境结算需要，《通知》明确银行可在“展业三原则”的基础上，为个人办理其他经常项目人民币跨境收付业务，便利境内个人将境外合法收入汇回境内使用，以及境外个人将境内合法人民币收入汇出境外。三是践行绿色发展理念，明确了境外投资者办理碳排放权交易人民币跨境结算业务的相关规定，支持境外投资者以人民币参与境内碳排放权交易。四是便利境外投资者以人民币进行直接投资。《通知》进一步优化了业务办理流程，取消了相关账户开立和资金使用等有关方面的限制，明确银行可在“展业三原则”的基础上，根据企业实际需要办理相关业务。《通知》要求银行应确保境外投资者的人民币利润、股息等投资收益依法自由汇出。五是明确了境内企业境外发行债券、股票募集的人民币资金可按实际需要调回境内使用，进一步简化管理流程，便利企业日常运营。</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《通知》的实施将有利于进一步提高贸易投资便利化水平，有利于提升金融机构服务实体经济、服务“一带一路”建设的能力，有利于我国推进更深层次更高水平的对外开放。</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自2009年推出跨境贸易人民币结算试点以来，人民银行坚持市场驱动原则，根据市场主体需要不断完善人民币跨境业务政策，便利市场主体开展跨境贸易和投融资活动，帮助市场主体规避汇率风险，降低财务成本。今后，人民银行将进一步贯彻落实党的十九大精神，不断提升金融服务实体经济能力，实行高水平的贸易和投资自由化便利化政策，推动形成全面开放新格局。（完）</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附件：中国人民银行关于进一步完善人民币跨境业务政策促进贸易投资便利化的通知</w:t>
      </w: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561" w:firstLineChars="200"/>
        <w:jc w:val="center"/>
        <w:rPr>
          <w:rFonts w:ascii="华文楷体" w:hAnsi="华文楷体" w:eastAsia="华文楷体" w:cs="华文楷体"/>
          <w:b/>
          <w:sz w:val="28"/>
          <w:szCs w:val="28"/>
          <w:shd w:val="clear" w:color="auto" w:fill="FFFFFF"/>
        </w:rPr>
      </w:pPr>
      <w:bookmarkStart w:id="11" w:name="《中国人民银行、银监会、证监会、保监会关于规范债券市场参与者债券交易业务的通知》"/>
      <w:r>
        <w:rPr>
          <w:rFonts w:hint="eastAsia" w:ascii="华文楷体" w:hAnsi="华文楷体" w:eastAsia="华文楷体" w:cs="华文楷体"/>
          <w:b/>
          <w:sz w:val="28"/>
          <w:szCs w:val="28"/>
          <w:shd w:val="clear" w:color="auto" w:fill="FFFFFF"/>
        </w:rPr>
        <w:t>《中国人民银行 银监会 证监会 保监会关于规范债券市场参与者债券交易业务的通知》答记者问</w:t>
      </w:r>
    </w:p>
    <w:bookmarkEnd w:id="11"/>
    <w:p>
      <w:pPr>
        <w:spacing w:line="360" w:lineRule="auto"/>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2018年1月5日 文章来源：沟通交流</w:t>
      </w:r>
      <w:r>
        <w:rPr>
          <w:rFonts w:hint="eastAsia" w:ascii="宋体" w:hAnsi="宋体" w:eastAsia="宋体" w:cs="宋体"/>
          <w:color w:val="000000"/>
          <w:sz w:val="18"/>
          <w:szCs w:val="18"/>
          <w:shd w:val="clear" w:color="auto" w:fill="FFFFFF"/>
          <w:lang w:eastAsia="zh-CN"/>
        </w:rPr>
        <w:t>、中国人民银行</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近日，中国人民银行、银监会、证监会、保监会下发了《中国人民银行 银监会 证监会 保监会关于规范债券市场参与者债券交易业务的通知》（银发[2017]302号，以下简称《通知》）。针对债券市场参与者的关切和市场的不同解读，人民银行有关负责人回答了记者提问。</w:t>
      </w:r>
    </w:p>
    <w:p>
      <w:pPr>
        <w:spacing w:line="360" w:lineRule="auto"/>
        <w:ind w:firstLine="480" w:firstLineChars="200"/>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一、《通知》发布的背景是什么？</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近年来，随着我国债券市场不断发展，部分逐利动机较强、内控薄弱的市场参与者，在场内、场外以各种形式直接或变相加杠杆博取高收益。同时，还有市场参与者采用“代持”等违规交易安排，规避内控风控机制和资本占用等监管要求、放大交易杠杆，引发交易纠纷，这些不审慎的交易行为客观上使得债券市场脆弱性上升，潜藏较大风险隐患。为贯彻落实党的十九大报告、第五次全国金融工作会议及中央经济工作会议等提出的“守住不发生系统性金融风险底线”的明确要求，针对债券市场存在的一些不规范交易行为，人民银行、银监会、证监会、保监会共同研究制定《通知》，旨在督促各类市场参与者加强内部控制与风险管理，健全债券交易相关的各项内控制度，规范债券交易行为，并将自身杠杆操作控制在合理水平。</w:t>
      </w:r>
    </w:p>
    <w:p>
      <w:pPr>
        <w:spacing w:line="360" w:lineRule="auto"/>
        <w:ind w:firstLine="480" w:firstLineChars="200"/>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二、《通知》适用于哪些投资者？</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《通知》适用对象包括场内、场外符合有关规定的境内合格机构投资者，以及非法人产品的资产管理人与托管人；适用范围包括现券买卖、债券回购、债券远期、债券借贷等符合规定的债券交易业务。</w:t>
      </w:r>
    </w:p>
    <w:p>
      <w:pPr>
        <w:spacing w:line="360" w:lineRule="auto"/>
        <w:ind w:firstLine="480" w:firstLineChars="200"/>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三、对于市场参与者的内控机制都有哪些要求？</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通知》明确了市场参与者建立内控制度及风控指标的有关标准，进一步强调了对前台部门的业务划分及有效隔离、对中后台部门的统一管理及职责，并对从业人员提出了一定要求。同时，引导市场参与者实施科学合理的激励机制，避免以人员挂靠、部门承包等方式放松管理，造成行为扭曲和过度投机。</w:t>
      </w:r>
    </w:p>
    <w:p>
      <w:pPr>
        <w:spacing w:line="360" w:lineRule="auto"/>
        <w:ind w:firstLine="480" w:firstLineChars="200"/>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四、哪些行为是明确禁止的？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通过梳理已发布的相关文件要求，在《通知》中再次重申了针对市场参与者的有关禁止性规定，如相互租借账户、利益输送、内幕交易、操纵市场、规避内控或监管等。</w:t>
      </w:r>
    </w:p>
    <w:p>
      <w:pPr>
        <w:spacing w:line="360" w:lineRule="auto"/>
        <w:ind w:firstLine="480" w:firstLineChars="200"/>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五、对于债券交易，都有哪些规范措施？</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通知》着重强调市场参与者在债券市场开展债券交易均应在指定交易平台线上达成并签署相关交易合同和主协议，同时还明确了市场参与者要按照实质大于形式的原则，对于约定由他人暂时持有但最终须返售、或者为他人暂时持有但最终须由其购回的债券交易，应通过买断式回购交易达成，按照相应会计准则进行会计核算，并以此计算风控指标，统一管理。</w:t>
      </w:r>
    </w:p>
    <w:p>
      <w:pPr>
        <w:spacing w:line="360" w:lineRule="auto"/>
        <w:ind w:firstLine="480" w:firstLineChars="200"/>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六、如何理解《通知》对杠杆比率的要求？</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通知》要求市场参与者根据审慎展业的原则，合理控制自身债券交易杠杆比率。金融机构的总杠杆水平往往由多种金融产品和交易共同构成，债券回购是常用的加杠杆工具之一。《通知》将债券交易的杠杆比率主要作为监测整体杠杆的观测指标，要求市场参与者的债券交易杠杆比率超过一定水平时向相关金融监管部门报告，以引导市场参与者审慎经营，切实加强风险防控意识。</w:t>
      </w:r>
    </w:p>
    <w:p>
      <w:pPr>
        <w:spacing w:line="360" w:lineRule="auto"/>
        <w:ind w:firstLine="480" w:firstLineChars="200"/>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七、在《通知》下发后，如何引导市场完成平稳过渡？</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为实现平稳有效降低债券市场风险的目标，《通知》规定了一年时间为过渡期，引导市场参与者在过渡期内，完善内控风控机制建设与管理，规范债券交易行为，有效控制债券交易杠杆比率等。此前应按未按买断式回购处理的交易，在过渡期内可以按合同继续履行，但不得续作，并纳入表内规范，由此造成相关指标不达标的可以在过渡期予以豁免。过渡期结束后，对于仍不符合《通知》有关要求的市场参与者，相关金融监管部门等将对其进行后续处理。</w:t>
      </w: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561" w:firstLineChars="200"/>
        <w:jc w:val="center"/>
        <w:rPr>
          <w:rFonts w:hint="eastAsia" w:ascii="华文宋体" w:hAnsi="华文宋体" w:eastAsia="华文宋体" w:cs="华文宋体"/>
          <w:b/>
          <w:sz w:val="28"/>
          <w:szCs w:val="28"/>
          <w:shd w:val="clear" w:color="auto" w:fill="FFFFFF"/>
        </w:rPr>
      </w:pPr>
      <w:bookmarkStart w:id="12" w:name="中国银行业监督管理委员会令"/>
      <w:r>
        <w:rPr>
          <w:rFonts w:hint="eastAsia" w:ascii="华文宋体" w:hAnsi="华文宋体" w:eastAsia="华文宋体" w:cs="华文宋体"/>
          <w:b/>
          <w:sz w:val="28"/>
          <w:szCs w:val="28"/>
          <w:shd w:val="clear" w:color="auto" w:fill="FFFFFF"/>
        </w:rPr>
        <w:t>中国银行业监督管理委员会令</w:t>
      </w:r>
      <w:bookmarkEnd w:id="12"/>
    </w:p>
    <w:p>
      <w:pPr>
        <w:spacing w:line="360" w:lineRule="auto"/>
        <w:jc w:val="center"/>
        <w:rPr>
          <w:rFonts w:hint="eastAsia" w:ascii="宋体" w:hAnsi="宋体" w:eastAsia="宋体" w:cs="宋体"/>
          <w:color w:val="000000"/>
          <w:sz w:val="18"/>
          <w:szCs w:val="18"/>
          <w:shd w:val="clear" w:color="auto" w:fill="FFFFFF"/>
          <w:lang w:eastAsia="zh-CN"/>
        </w:rPr>
      </w:pPr>
      <w:r>
        <w:rPr>
          <w:rFonts w:hint="eastAsia" w:ascii="宋体" w:hAnsi="宋体" w:eastAsia="宋体" w:cs="宋体"/>
          <w:color w:val="000000"/>
          <w:sz w:val="18"/>
          <w:szCs w:val="18"/>
          <w:shd w:val="clear" w:color="auto" w:fill="FFFFFF"/>
          <w:lang w:eastAsia="zh-CN"/>
        </w:rPr>
        <w:t>来源：</w:t>
      </w:r>
      <w:r>
        <w:rPr>
          <w:rFonts w:hint="eastAsia" w:ascii="宋体" w:hAnsi="宋体" w:eastAsia="宋体" w:cs="宋体"/>
          <w:color w:val="000000"/>
          <w:sz w:val="18"/>
          <w:szCs w:val="18"/>
          <w:shd w:val="clear" w:color="auto" w:fill="FFFFFF"/>
        </w:rPr>
        <w:t>中国银行业监督管理委员会</w:t>
      </w:r>
    </w:p>
    <w:p>
      <w:pPr>
        <w:spacing w:line="360" w:lineRule="auto"/>
        <w:ind w:firstLine="560" w:firstLineChars="200"/>
        <w:jc w:val="center"/>
        <w:rPr>
          <w:rFonts w:ascii="华文楷体" w:hAnsi="华文楷体" w:eastAsia="华文楷体" w:cs="华文楷体"/>
          <w:bCs/>
          <w:shd w:val="clear" w:color="auto" w:fill="FFFFFF"/>
        </w:rPr>
      </w:pPr>
      <w:r>
        <w:rPr>
          <w:rFonts w:hint="eastAsia" w:ascii="华文楷体" w:hAnsi="华文楷体" w:eastAsia="华文楷体" w:cs="华文楷体"/>
          <w:bCs/>
          <w:sz w:val="28"/>
          <w:szCs w:val="28"/>
          <w:shd w:val="clear" w:color="auto" w:fill="FFFFFF"/>
        </w:rPr>
        <w:t>2018年第1号</w:t>
      </w:r>
      <w:r>
        <w:rPr>
          <w:rFonts w:hint="eastAsia" w:ascii="华文楷体" w:hAnsi="华文楷体" w:eastAsia="华文楷体" w:cs="华文楷体"/>
          <w:bCs/>
          <w:shd w:val="clear" w:color="auto" w:fill="FFFFFF"/>
        </w:rPr>
        <w:t xml:space="preserve"> </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商业银行股权管理暂行办法已经中国银监会2018年第1次主席会议通过。现予公布，自公布之日起施行。</w:t>
      </w:r>
    </w:p>
    <w:p>
      <w:pPr>
        <w:spacing w:line="360" w:lineRule="auto"/>
        <w:ind w:firstLine="480" w:firstLineChars="200"/>
        <w:jc w:val="righ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主席：郭树清 </w:t>
      </w:r>
    </w:p>
    <w:p>
      <w:pPr>
        <w:spacing w:line="360" w:lineRule="auto"/>
        <w:ind w:firstLine="480" w:firstLineChars="200"/>
        <w:jc w:val="righ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2018年1月5日</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561" w:firstLineChars="200"/>
        <w:jc w:val="center"/>
        <w:rPr>
          <w:rFonts w:ascii="华文楷体" w:hAnsi="华文楷体" w:eastAsia="华文楷体" w:cs="华文楷体"/>
          <w:b/>
          <w:color w:val="17365D" w:themeColor="text2" w:themeShade="BF"/>
          <w:sz w:val="28"/>
          <w:szCs w:val="28"/>
          <w:shd w:val="clear" w:color="auto" w:fill="FFFFFF"/>
        </w:rPr>
      </w:pPr>
      <w:r>
        <w:rPr>
          <w:rFonts w:hint="eastAsia" w:ascii="华文楷体" w:hAnsi="华文楷体" w:eastAsia="华文楷体" w:cs="华文楷体"/>
          <w:b/>
          <w:color w:val="17365D" w:themeColor="text2" w:themeShade="BF"/>
          <w:sz w:val="28"/>
          <w:szCs w:val="28"/>
          <w:shd w:val="clear" w:color="auto" w:fill="FFFFFF"/>
        </w:rPr>
        <w:t>商业银行股权管理暂行办法</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jc w:val="center"/>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第一章　总则</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 xml:space="preserve">第一条 </w:t>
      </w:r>
      <w:r>
        <w:rPr>
          <w:rFonts w:hint="eastAsia" w:ascii="华文楷体" w:hAnsi="华文楷体" w:eastAsia="华文楷体" w:cs="华文楷体"/>
          <w:bCs/>
          <w:shd w:val="clear" w:color="auto" w:fill="FFFFFF"/>
        </w:rPr>
        <w:t>为加强商业银行股权管理，规范商业银行股东行为，保护商业银行、存款人和其他客户的合法权益，维护股东的合法利益，促进商业银行持续健康发展，根据《中华人民共和国公司法》《中华人民共和国银行业监督管理法》《中华人民共和国商业银行法》等法律法规，制定本办法。</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第二条</w:t>
      </w:r>
      <w:r>
        <w:rPr>
          <w:rFonts w:hint="eastAsia" w:ascii="华文楷体" w:hAnsi="华文楷体" w:eastAsia="华文楷体" w:cs="华文楷体"/>
          <w:bCs/>
          <w:shd w:val="clear" w:color="auto" w:fill="FFFFFF"/>
        </w:rPr>
        <w:t xml:space="preserve"> 本办法适用于中华人民共和国境内依法设立的商业银行。法律法规对外资银行变更股东或调整股东持股比例另有规定的，从其规定。</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第三条</w:t>
      </w:r>
      <w:r>
        <w:rPr>
          <w:rFonts w:hint="eastAsia" w:ascii="华文楷体" w:hAnsi="华文楷体" w:eastAsia="华文楷体" w:cs="华文楷体"/>
          <w:bCs/>
          <w:shd w:val="clear" w:color="auto" w:fill="FFFFFF"/>
        </w:rPr>
        <w:t xml:space="preserve"> 商业银行股权管理应当遵循分类管理、资质优良、关系清晰、权责明确、公开透明原则。</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 xml:space="preserve">第四条 </w:t>
      </w:r>
      <w:r>
        <w:rPr>
          <w:rFonts w:hint="eastAsia" w:ascii="华文楷体" w:hAnsi="华文楷体" w:eastAsia="华文楷体" w:cs="华文楷体"/>
          <w:bCs/>
          <w:shd w:val="clear" w:color="auto" w:fill="FFFFFF"/>
        </w:rPr>
        <w:t>投资人及其关联方、一致行动人单独或合计拟首次持有或累计增持商业银行资本总额或股份总额百分之五以上的，应当事先报银监会或其派出机构核准。对通过境内外证券市场拟持有商业银行股份总额百分之五以上的行政许可批复，有效期为六个月。审批的具体要求和程序按照银监会相关规定执行。</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投资人及其关联方、一致行动人单独或合计持有商业银行资本总额或股份总额百分之一以上、百分之五以下的，应当在取得相应股权后十个工作日内向银监会或其派出机构报告。报告的具体要求和程序，由银监会另行规定。</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第五条</w:t>
      </w:r>
      <w:r>
        <w:rPr>
          <w:rFonts w:hint="eastAsia" w:ascii="华文楷体" w:hAnsi="华文楷体" w:eastAsia="华文楷体" w:cs="华文楷体"/>
          <w:bCs/>
          <w:shd w:val="clear" w:color="auto" w:fill="FFFFFF"/>
        </w:rPr>
        <w:t xml:space="preserve"> 商业银行股东应当具有良好的社会声誉、诚信记录、纳税记录和财务状况，符合法律法规规定和监管要求。</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第六条</w:t>
      </w:r>
      <w:r>
        <w:rPr>
          <w:rFonts w:hint="eastAsia" w:ascii="华文楷体" w:hAnsi="华文楷体" w:eastAsia="华文楷体" w:cs="华文楷体"/>
          <w:bCs/>
          <w:shd w:val="clear" w:color="auto" w:fill="FFFFFF"/>
        </w:rPr>
        <w:t xml:space="preserve"> 商业银行的股东及其控股股东、实际控制人、关联方、一致行动人、最终受益人等各方关系应当清晰透明。</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股东与其关联方、一致行动人的持股比例合并计算。</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第七条</w:t>
      </w:r>
      <w:r>
        <w:rPr>
          <w:rFonts w:hint="eastAsia" w:ascii="华文楷体" w:hAnsi="华文楷体" w:eastAsia="华文楷体" w:cs="华文楷体"/>
          <w:bCs/>
          <w:shd w:val="clear" w:color="auto" w:fill="FFFFFF"/>
        </w:rPr>
        <w:t xml:space="preserve"> 商业银行股东应当遵守法律法规、监管规定和公司章程，依法行使股东权利，履行法定义务。</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商业银行应当加强对股权事务的管理，完善公司治理结构。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银监会及其派出机构依法对商业银行股权进行监管，对商业银行及其股东等单位和人员的相关违法违规行为进行查处。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第八条</w:t>
      </w:r>
      <w:r>
        <w:rPr>
          <w:rFonts w:hint="eastAsia" w:ascii="华文楷体" w:hAnsi="华文楷体" w:eastAsia="华文楷体" w:cs="华文楷体"/>
          <w:bCs/>
          <w:shd w:val="clear" w:color="auto" w:fill="FFFFFF"/>
        </w:rPr>
        <w:t xml:space="preserve"> 商业银行及其股东应当根据法律法规和监管要求，充分披露相关信息，接受社会监督。</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第九条</w:t>
      </w:r>
      <w:r>
        <w:rPr>
          <w:rFonts w:hint="eastAsia" w:ascii="华文楷体" w:hAnsi="华文楷体" w:eastAsia="华文楷体" w:cs="华文楷体"/>
          <w:bCs/>
          <w:shd w:val="clear" w:color="auto" w:fill="FFFFFF"/>
        </w:rPr>
        <w:t xml:space="preserve"> 商业银行、银监会及其派出机构应当加强对商业银行主要股东的管理。</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商业银行主要股东是指持有或控制商业银行百分之五以上股份或表决权，或持有资本总额或股份总额不足百分之五但对商业银行经营管理有重大影响的股东。</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前款中的“重大影响”，包括但不限于向商业银行派驻董事、监事或高级管理人员，通过协议或其他方式影响商业银行的财务和经营管理决策以及银监会或其派出机构认定的其他情形。</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jc w:val="center"/>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第二章　股东责任</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第十条</w:t>
      </w:r>
      <w:r>
        <w:rPr>
          <w:rFonts w:hint="eastAsia" w:ascii="华文楷体" w:hAnsi="华文楷体" w:eastAsia="华文楷体" w:cs="华文楷体"/>
          <w:bCs/>
          <w:shd w:val="clear" w:color="auto" w:fill="FFFFFF"/>
        </w:rPr>
        <w:t xml:space="preserve"> 商业银行股东应当严格按照法律法规和银监会规定履行出资义务。</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商业银行股东应当使用自有资金入股商业银行，且确保资金来源合法，不得以委托资金、债务资金等非自有资金入股，法律法规另有规定的除外。</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第十一条</w:t>
      </w:r>
      <w:r>
        <w:rPr>
          <w:rFonts w:hint="eastAsia" w:ascii="华文楷体" w:hAnsi="华文楷体" w:eastAsia="华文楷体" w:cs="华文楷体"/>
          <w:bCs/>
          <w:shd w:val="clear" w:color="auto" w:fill="FFFFFF"/>
        </w:rPr>
        <w:t xml:space="preserve"> 主要股东入股商业银行时，应当书面承诺遵守法律法规、监管规定和公司章程，并就入股商业银行的目的作出说明。</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第十二条</w:t>
      </w:r>
      <w:r>
        <w:rPr>
          <w:rFonts w:hint="eastAsia" w:ascii="华文楷体" w:hAnsi="华文楷体" w:eastAsia="华文楷体" w:cs="华文楷体"/>
          <w:bCs/>
          <w:shd w:val="clear" w:color="auto" w:fill="FFFFFF"/>
        </w:rPr>
        <w:t xml:space="preserve"> 商业银行股东不得委托他人或接受他人委托持有商业银行股权。</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商业银行主要股东应当逐层说明其股权结构直至实际控制人、最终受益人，以及其与其他股东的关联关系或者一致行动关系。</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第十三条</w:t>
      </w:r>
      <w:r>
        <w:rPr>
          <w:rFonts w:hint="eastAsia" w:ascii="华文楷体" w:hAnsi="华文楷体" w:eastAsia="华文楷体" w:cs="华文楷体"/>
          <w:bCs/>
          <w:shd w:val="clear" w:color="auto" w:fill="FFFFFF"/>
        </w:rPr>
        <w:t xml:space="preserve"> 商业银行股东转让所持有的商业银行股权，应当告知受让方需符合法律法规和银监会规定的条件。</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第十四条</w:t>
      </w:r>
      <w:r>
        <w:rPr>
          <w:rFonts w:hint="eastAsia" w:ascii="华文楷体" w:hAnsi="华文楷体" w:eastAsia="华文楷体" w:cs="华文楷体"/>
          <w:bCs/>
          <w:shd w:val="clear" w:color="auto" w:fill="FFFFFF"/>
        </w:rPr>
        <w:t xml:space="preserve"> 同一投资人及其关联方、一致行动人作为主要股东参股商业银行的数量不得超过2家，或控股商业银行的数量不得超过1家。</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根据国务院授权持有商业银行股权的投资主体、银行业金融机构，法律法规另有规定的主体入股商业银行，以及投资人经银监会批准并购重组高风险商业银行，不受本条前款规定限制。</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第十五条</w:t>
      </w:r>
      <w:r>
        <w:rPr>
          <w:rFonts w:hint="eastAsia" w:ascii="华文楷体" w:hAnsi="华文楷体" w:eastAsia="华文楷体" w:cs="华文楷体"/>
          <w:bCs/>
          <w:shd w:val="clear" w:color="auto" w:fill="FFFFFF"/>
        </w:rPr>
        <w:t xml:space="preserve"> 同一投资人及其关联方、一致行动人入股商业银行应当遵守银监会规定的持股比例要求。</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第十六条</w:t>
      </w:r>
      <w:r>
        <w:rPr>
          <w:rFonts w:hint="eastAsia" w:ascii="华文楷体" w:hAnsi="华文楷体" w:eastAsia="华文楷体" w:cs="华文楷体"/>
          <w:bCs/>
          <w:shd w:val="clear" w:color="auto" w:fill="FFFFFF"/>
        </w:rPr>
        <w:t xml:space="preserve"> 商业银行主要股东及其控股股东、实际控制人不得存在下列情形：</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（一）被列为相关部门失信联合惩戒对象；</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（二）存在严重逃废银行债务行为；</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（三）提供虚假材料或者作不实声明；</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（四）对商业银行经营失败或重大违法违规行为负有重大责任；</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（五）拒绝或阻碍银监会或其派出机构依法实施监管；</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（六）因违法违规行为被金融监管部门或政府有关部门查处，造成恶劣影响；</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（七）其他可能对商业银行经营管理产生不利影响的情形。</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第十七条</w:t>
      </w:r>
      <w:r>
        <w:rPr>
          <w:rFonts w:hint="eastAsia" w:ascii="华文楷体" w:hAnsi="华文楷体" w:eastAsia="华文楷体" w:cs="华文楷体"/>
          <w:bCs/>
          <w:shd w:val="clear" w:color="auto" w:fill="FFFFFF"/>
        </w:rPr>
        <w:t xml:space="preserve"> 商业银行主要股东自取得股权之日起五年内不得转让所持有的股权。</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经银监会或其派出机构批准采取风险处置措施、银监会或其派出机构责令转让、涉及司法强制执行或者在同一投资人控制的不同主体之间转让股权等特殊情形除外。</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 xml:space="preserve">第十八条 </w:t>
      </w:r>
      <w:r>
        <w:rPr>
          <w:rFonts w:hint="eastAsia" w:ascii="华文楷体" w:hAnsi="华文楷体" w:eastAsia="华文楷体" w:cs="华文楷体"/>
          <w:bCs/>
          <w:shd w:val="clear" w:color="auto" w:fill="FFFFFF"/>
        </w:rPr>
        <w:t>商业银行主要股东应当严格按照法律法规、监管规定和公司章程行使出资人权利，履行出资人义务，不得滥用股东权利干预或利用其影响力干预董事会、高级管理层根据公司章程享有的决策权和管理权，不得越过董事会和高级管理层直接干预或利用影响力干预商业银行经营管理，进行利益输送，或以其他方式损害存款人、商业银行以及其他股东的合法权益。</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第十九条</w:t>
      </w:r>
      <w:r>
        <w:rPr>
          <w:rFonts w:hint="eastAsia" w:ascii="华文楷体" w:hAnsi="华文楷体" w:eastAsia="华文楷体" w:cs="华文楷体"/>
          <w:bCs/>
          <w:shd w:val="clear" w:color="auto" w:fill="FFFFFF"/>
        </w:rPr>
        <w:t xml:space="preserve"> 商业银行主要股东应当根据监管规定书面承诺在必要时向商业银行补充资本，并通过商业银行每年向银监会或其派出机构报告资本补充能力。</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第二十条</w:t>
      </w:r>
      <w:r>
        <w:rPr>
          <w:rFonts w:hint="eastAsia" w:ascii="华文楷体" w:hAnsi="华文楷体" w:eastAsia="华文楷体" w:cs="华文楷体"/>
          <w:bCs/>
          <w:shd w:val="clear" w:color="auto" w:fill="FFFFFF"/>
        </w:rPr>
        <w:t xml:space="preserve"> 商业银行主要股东应当建立有效的风险隔离机制，防止风险在股东、商业银行以及其他关联机构之间传染和转移。</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第二十一条</w:t>
      </w:r>
      <w:r>
        <w:rPr>
          <w:rFonts w:hint="eastAsia" w:ascii="华文楷体" w:hAnsi="华文楷体" w:eastAsia="华文楷体" w:cs="华文楷体"/>
          <w:bCs/>
          <w:shd w:val="clear" w:color="auto" w:fill="FFFFFF"/>
        </w:rPr>
        <w:t xml:space="preserve"> 商业银行主要股东应当对其与商业银行和其他关联机构之间董事会成员、监事会成员和高级管理人员的交叉任职进行有效管理，防范利益冲突。</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第二十二条</w:t>
      </w:r>
      <w:r>
        <w:rPr>
          <w:rFonts w:hint="eastAsia" w:ascii="华文楷体" w:hAnsi="华文楷体" w:eastAsia="华文楷体" w:cs="华文楷体"/>
          <w:bCs/>
          <w:shd w:val="clear" w:color="auto" w:fill="FFFFFF"/>
        </w:rPr>
        <w:t xml:space="preserve"> 商业银行股东应当遵守法律法规和银监会关于关联交易的相关规定，不得与商业银行进行不当的关联交易，不得利用其对商业银行经营管理的影响力获取不正当利益。</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第二十三条</w:t>
      </w:r>
      <w:r>
        <w:rPr>
          <w:rFonts w:hint="eastAsia" w:ascii="华文楷体" w:hAnsi="华文楷体" w:eastAsia="华文楷体" w:cs="华文楷体"/>
          <w:bCs/>
          <w:shd w:val="clear" w:color="auto" w:fill="FFFFFF"/>
        </w:rPr>
        <w:t xml:space="preserve"> 商业银行股东质押其持有的商业银行股权的，应当遵守法律法规和银监会关于商业银行股权质押的相关规定，不得损害其他股东和商业银行的利益。</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第二十四条</w:t>
      </w:r>
      <w:r>
        <w:rPr>
          <w:rFonts w:hint="eastAsia" w:ascii="华文楷体" w:hAnsi="华文楷体" w:eastAsia="华文楷体" w:cs="华文楷体"/>
          <w:bCs/>
          <w:shd w:val="clear" w:color="auto" w:fill="FFFFFF"/>
        </w:rPr>
        <w:t xml:space="preserve"> 商业银行发生重大风险事件或重大违法违规行为，被银监会或其派出机构采取风险处置或接管等措施的，股东应当积极配合银监会或其派出机构开展风险处置等工作。</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 xml:space="preserve">第二十五条 </w:t>
      </w:r>
      <w:r>
        <w:rPr>
          <w:rFonts w:hint="eastAsia" w:ascii="华文楷体" w:hAnsi="华文楷体" w:eastAsia="华文楷体" w:cs="华文楷体"/>
          <w:bCs/>
          <w:shd w:val="clear" w:color="auto" w:fill="FFFFFF"/>
        </w:rPr>
        <w:t>金融产品可以持有上市商业银行股份，但单一投资人、发行人或管理人及其实际控制人、关联方、一致行动人控制的金融产品持有同一商业银行股份合计不得超过该商业银行股份总额的百分之五。</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商业银行主要股东不得以发行、管理或通过其他手段控制的金融产品持有该商业银行股份。</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jc w:val="center"/>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第三章  商业银行职责</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第二十六条</w:t>
      </w:r>
      <w:r>
        <w:rPr>
          <w:rFonts w:hint="eastAsia" w:ascii="华文楷体" w:hAnsi="华文楷体" w:eastAsia="华文楷体" w:cs="华文楷体"/>
          <w:bCs/>
          <w:shd w:val="clear" w:color="auto" w:fill="FFFFFF"/>
        </w:rPr>
        <w:t xml:space="preserve"> 商业银行董事会应当勤勉尽责，并承担股权事务管理的最终责任。</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商业银行董事长是处理商业银行股权事务的第一责任人。董事会秘书协助董事长工作，是处理股权事务的直接责任人。</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董事长和董事会秘书应当忠实、诚信、勤勉地履行职责。履职未尽责的，依法承担法律责任。</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 xml:space="preserve">第二十七条 </w:t>
      </w:r>
      <w:r>
        <w:rPr>
          <w:rFonts w:hint="eastAsia" w:ascii="华文楷体" w:hAnsi="华文楷体" w:eastAsia="华文楷体" w:cs="华文楷体"/>
          <w:bCs/>
          <w:shd w:val="clear" w:color="auto" w:fill="FFFFFF"/>
        </w:rPr>
        <w:t>商业银行应当建立和完善股权信息管理系统和股权管理制度，做好股权信息登记、关联交易管理和信息披露等工作。</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商业银行应当加强与股东及投资者的沟通，并负责与股权事务相关的行政许可申请、股东信息和相关事项报告及资料报送等工作。</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第二十八条</w:t>
      </w:r>
      <w:r>
        <w:rPr>
          <w:rFonts w:hint="eastAsia" w:ascii="华文楷体" w:hAnsi="华文楷体" w:eastAsia="华文楷体" w:cs="华文楷体"/>
          <w:bCs/>
          <w:shd w:val="clear" w:color="auto" w:fill="FFFFFF"/>
        </w:rPr>
        <w:t xml:space="preserve"> 商业银行应当将关于股东管理的相关监管要求、股东的权利义务等写入公司章程，在公司章程中载明下列内容：</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（一）股东应当遵守法律法规和监管规定；</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（二）主要股东应当在必要时向商业银行补充资本；</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（三）应经但未经监管部门批准或未向监管部门报告的股东，不得行使股东大会召开请求权、表决权、提名权、提案权、处分权等权利；</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四）对于存在虚假陈述、滥用股东权利或其他损害商业银行利益行为的股东，银监会或其派出机构可以限制或禁止商业银行与其开展关联交易，限制其持有商业银行股权的限额、股权质押比例等，并可限制其股东大会召开请求权、表决权、提名权、提案权、处分权等权利。</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 xml:space="preserve">第二十九条 </w:t>
      </w:r>
      <w:r>
        <w:rPr>
          <w:rFonts w:hint="eastAsia" w:ascii="华文楷体" w:hAnsi="华文楷体" w:eastAsia="华文楷体" w:cs="华文楷体"/>
          <w:bCs/>
          <w:shd w:val="clear" w:color="auto" w:fill="FFFFFF"/>
        </w:rPr>
        <w:t>商业银行应当加强对股东资质的审查，对主要股东及其控股股东、实际控制人、关联方、一致行动人、最终受益人信息进行核实并掌握其变动情况，就股东对商业银行经营管理的影响进行判断，依法及时、准确、完整地报告或披露相关信息。</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第三十条</w:t>
      </w:r>
      <w:r>
        <w:rPr>
          <w:rFonts w:hint="eastAsia" w:ascii="华文楷体" w:hAnsi="华文楷体" w:eastAsia="华文楷体" w:cs="华文楷体"/>
          <w:bCs/>
          <w:shd w:val="clear" w:color="auto" w:fill="FFFFFF"/>
        </w:rPr>
        <w:t xml:space="preserve"> 商业银行董事会应当至少每年对主要股东资质情况、履行承诺事项情况、落实公司章程或协议条款情况以及遵守法律法规、监管规定情况进行评估，并及时将评估报告报送银监会或其派出机构。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第三十一条</w:t>
      </w:r>
      <w:r>
        <w:rPr>
          <w:rFonts w:hint="eastAsia" w:ascii="华文楷体" w:hAnsi="华文楷体" w:eastAsia="华文楷体" w:cs="华文楷体"/>
          <w:bCs/>
          <w:shd w:val="clear" w:color="auto" w:fill="FFFFFF"/>
        </w:rPr>
        <w:t xml:space="preserve"> 商业银行应当建立股权托管制度，将股权在符合要求的托管机构进行集中托管。托管的具体要求由银监会另行规定。</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第三十二条</w:t>
      </w:r>
      <w:r>
        <w:rPr>
          <w:rFonts w:hint="eastAsia" w:ascii="华文楷体" w:hAnsi="华文楷体" w:eastAsia="华文楷体" w:cs="华文楷体"/>
          <w:bCs/>
          <w:shd w:val="clear" w:color="auto" w:fill="FFFFFF"/>
        </w:rPr>
        <w:t xml:space="preserve"> 商业银行应当加强关联交易管理，准确识别关联方，严格落实关联交易审批制度和信息披露制度，及时向银监会或其派出机构报告关联交易情况。</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商业银行应当按照穿透原则将主要股东及其控股股东、实际控制人、关联方、一致行动人、最终受益人作为自身的关联方进行管理。</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第三十三条</w:t>
      </w:r>
      <w:r>
        <w:rPr>
          <w:rFonts w:hint="eastAsia" w:ascii="华文楷体" w:hAnsi="华文楷体" w:eastAsia="华文楷体" w:cs="华文楷体"/>
          <w:bCs/>
          <w:shd w:val="clear" w:color="auto" w:fill="FFFFFF"/>
        </w:rPr>
        <w:t xml:space="preserve"> 商业银行对主要股东或其控股股东、实际控制人、关联方、一致行动人、最终受益人等单个主体的授信余额不得超过商业银行资本净额的百分之十。商业银行对单个主要股东及其控股股东、实际控制人、关联方、一致行动人、最终受益人的合计授信余额不得超过商业银行资本净额的百分之十五。</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前款中的授信，包括贷款（含贸易融资）、票据承兑和贴现、透支、债券投资、特定目的载体投资、开立信用证、保理、担保、贷款承诺，以及其他实质上由商业银行或商业银行发行的理财产品承担信用风险的业务。其中，商业银行应当按照穿透原则确认最终债务人。</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商业银行的主要股东或其控股股东、实际控制人、关联方、一致行动人、最终受益人等为金融机构的，商业银行与其开展同业业务时，应当遵守法律法规和相关监管部门关于同业业务的相关规定。</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第三十四条</w:t>
      </w:r>
      <w:r>
        <w:rPr>
          <w:rFonts w:hint="eastAsia" w:ascii="华文楷体" w:hAnsi="华文楷体" w:eastAsia="华文楷体" w:cs="华文楷体"/>
          <w:bCs/>
          <w:shd w:val="clear" w:color="auto" w:fill="FFFFFF"/>
        </w:rPr>
        <w:t xml:space="preserve"> 商业银行与主要股东或其控股股东、实际控制人、关联方、一致行动人、最终受益人发生自用动产与不动产买卖或租赁；信贷资产买卖；抵债资产的接收和处置；信用增值、信用评估、资产评估、法律、信息、技术和基础设施等服务交易；委托或受托销售以及其他交易的，应当遵守法律法规和银监会有关规定，并按照商业原则进行，不应优于对非关联方同类交易条件，防止风险传染和利益输送。</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第三十五条</w:t>
      </w:r>
      <w:r>
        <w:rPr>
          <w:rFonts w:hint="eastAsia" w:ascii="华文楷体" w:hAnsi="华文楷体" w:eastAsia="华文楷体" w:cs="华文楷体"/>
          <w:bCs/>
          <w:shd w:val="clear" w:color="auto" w:fill="FFFFFF"/>
        </w:rPr>
        <w:t xml:space="preserve"> 商业银行应当加强对股权质押和解押的管理，在股东名册上记载质押相关信息，并及时协助股东向有关机构办理出质登记。</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jc w:val="center"/>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第四章 信息披露</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第三十六条</w:t>
      </w:r>
      <w:r>
        <w:rPr>
          <w:rFonts w:hint="eastAsia" w:ascii="华文楷体" w:hAnsi="华文楷体" w:eastAsia="华文楷体" w:cs="华文楷体"/>
          <w:bCs/>
          <w:shd w:val="clear" w:color="auto" w:fill="FFFFFF"/>
        </w:rPr>
        <w:t xml:space="preserve"> 商业银行主要股东应当及时、准确、完整地向商业银行报告以下信息：</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（一）自身经营状况、财务信息、股权结构；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（二）入股商业银行的资金来源；</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（三）控股股东、实际控制人、关联方、一致行动人、最终受益人及其变动情况；</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（四）所持商业银行股权被采取诉讼保全措施或者被强制执行；</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（五）所持商业银行股权被质押或者解押；</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（六）名称变更；</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（七）合并、分立；</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（八）被采取责令停业整顿、指定托管、接管或撤销等监管措施，或者进入解散、破产、清算程序；</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（九）其他可能影响股东资质条件变化或导致所持商业银行股权发生变化的情况。</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第三十七条</w:t>
      </w:r>
      <w:r>
        <w:rPr>
          <w:rFonts w:hint="eastAsia" w:ascii="华文楷体" w:hAnsi="华文楷体" w:eastAsia="华文楷体" w:cs="华文楷体"/>
          <w:bCs/>
          <w:shd w:val="clear" w:color="auto" w:fill="FFFFFF"/>
        </w:rPr>
        <w:t xml:space="preserve"> 商业银行应当通过半年报或年报在官方网站等渠道真实、准确、完整地披露商业银行股权信息，披露内容包括：</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（一）报告期末股票、股东总数及报告期间股票变动情况；</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（二）报告期末公司前十大股东持股情况；</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（三）报告期末主要股东及其控股股东、实际控制人、关联方、一致行动人、最终受益人情况；</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（四）报告期内与主要股东及其控股股东、实际控制人、关联方、一致行动人、最终受益人关联交易情况；</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（五）主要股东出质银行股权情况；</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（六）股东提名董事、监事情况；</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（七）银监会规定的其他信息。</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第三十八条</w:t>
      </w:r>
      <w:r>
        <w:rPr>
          <w:rFonts w:hint="eastAsia" w:ascii="华文楷体" w:hAnsi="华文楷体" w:eastAsia="华文楷体" w:cs="华文楷体"/>
          <w:bCs/>
          <w:shd w:val="clear" w:color="auto" w:fill="FFFFFF"/>
        </w:rPr>
        <w:t xml:space="preserve"> 主要股东相关信息可能影响股东资质条件发生重大变化或导致所持商业银行股权发生重大变化的，商业银行应及时进行信息披露。</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第三十九条</w:t>
      </w:r>
      <w:r>
        <w:rPr>
          <w:rFonts w:hint="eastAsia" w:ascii="华文楷体" w:hAnsi="华文楷体" w:eastAsia="华文楷体" w:cs="华文楷体"/>
          <w:bCs/>
          <w:shd w:val="clear" w:color="auto" w:fill="FFFFFF"/>
        </w:rPr>
        <w:t xml:space="preserve"> 对于应当报请银监会或其派出机构批准但尚未获得批准的股权事项，商业银行在信息披露时应当作出说明。</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jc w:val="center"/>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第五章　监督管理</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第四十条</w:t>
      </w:r>
      <w:r>
        <w:rPr>
          <w:rFonts w:hint="eastAsia" w:ascii="华文楷体" w:hAnsi="华文楷体" w:eastAsia="华文楷体" w:cs="华文楷体"/>
          <w:bCs/>
          <w:shd w:val="clear" w:color="auto" w:fill="FFFFFF"/>
        </w:rPr>
        <w:t xml:space="preserve"> 银监会及其派出机构应当加强对商业银行股东的穿透监管，加强对主要股东及其控股股东、实际控制人、关联方、一致行动人及最终受益人的审查、识别和认定。商业银行主要股东及其控股股东、实际控制人、关联方、一致行动人及最终受益人，以银监会或其派出机构认定为准。</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银监会及其派出机构有权采取下列措施，了解商业银行股东及其控股股东、实际控制人、关联方、一致行动人及最终受益人信息：</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（一）要求股东逐层披露其股东、实际控制人、关联方、一致行动人及最终受益人；</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（二）要求股东报送资产负债表、利润表和其他财务会计报告和统计报表、公司发展战略和经营管理材料以及注册会计师出具的审计报告；</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（三）要求股东及相关人员对有关事项作出解释说明；</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（四）询问股东及相关人员;</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（五）实地走访或调查股东经营情况； </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（六）银监会及其派出机构认为可以采取的其他监管措施。</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对与涉嫌违法事项有关的商业银行股东及其控股股东、实际控制人、关联方、一致行动人及最终受益人，银监会及其派出机构有权依法查阅、复制有关财务会计、财产权登记等文件、资料；对可能被转移、隐匿、毁损或者伪造的文件、资料，予以先行登记保存。</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 xml:space="preserve">第四十一条 </w:t>
      </w:r>
      <w:r>
        <w:rPr>
          <w:rFonts w:hint="eastAsia" w:ascii="华文楷体" w:hAnsi="华文楷体" w:eastAsia="华文楷体" w:cs="华文楷体"/>
          <w:bCs/>
          <w:shd w:val="clear" w:color="auto" w:fill="FFFFFF"/>
        </w:rPr>
        <w:t>银监会及其派出机构有权要求商业银行在公司章程中载明股东权利和义务，以及股东应当遵守和执行监管规定和监管要求的内容；有权要求商业银行或股东就其提供的有关资质条件、关联关系或入股资金等信息的真实性作出声明，并承诺承担因提供虚假信息或不实声明造成的后果。</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 xml:space="preserve">第四十二条 </w:t>
      </w:r>
      <w:r>
        <w:rPr>
          <w:rFonts w:hint="eastAsia" w:ascii="华文楷体" w:hAnsi="华文楷体" w:eastAsia="华文楷体" w:cs="华文楷体"/>
          <w:bCs/>
          <w:shd w:val="clear" w:color="auto" w:fill="FFFFFF"/>
        </w:rPr>
        <w:t>银监会及其派出机构有权评估商业银行主要股东及其控股股东、实际控制人、关联方、一致行动人、最终受益人的经营活动，以判断其对商业银行和银行集团安全稳健运行的影响。</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第四十三条</w:t>
      </w:r>
      <w:r>
        <w:rPr>
          <w:rFonts w:hint="eastAsia" w:ascii="华文楷体" w:hAnsi="华文楷体" w:eastAsia="华文楷体" w:cs="华文楷体"/>
          <w:bCs/>
          <w:shd w:val="clear" w:color="auto" w:fill="FFFFFF"/>
        </w:rPr>
        <w:t xml:space="preserve"> 银监会及其派出机构有权根据商业银行与股东关联交易的风险状况，要求商业银行降低对一个或一个以上直至全部股东及其控股股东、实际控制人、关联方、一致行动人、最终受益人授信余额占其资本净额的比例，限制或禁止商业银行与一个或一个以上直至全部股东及其控股股东、实际控制人、关联方、一致行动人、最终受益人开展交易。</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第四十四条</w:t>
      </w:r>
      <w:r>
        <w:rPr>
          <w:rFonts w:hint="eastAsia" w:ascii="华文楷体" w:hAnsi="华文楷体" w:eastAsia="华文楷体" w:cs="华文楷体"/>
          <w:bCs/>
          <w:shd w:val="clear" w:color="auto" w:fill="FFFFFF"/>
        </w:rPr>
        <w:t xml:space="preserve"> 银监会及其派出机构根据审慎监管的需要，有权限制同一股东及其关联方、一致行动人入股商业银行的数量、持有商业银行股权的限额、股权质押比例等。</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第四十五条</w:t>
      </w:r>
      <w:r>
        <w:rPr>
          <w:rFonts w:hint="eastAsia" w:ascii="华文楷体" w:hAnsi="华文楷体" w:eastAsia="华文楷体" w:cs="华文楷体"/>
          <w:bCs/>
          <w:shd w:val="clear" w:color="auto" w:fill="FFFFFF"/>
        </w:rPr>
        <w:t xml:space="preserve"> 银监会及其派出机构应当建立股东动态监测机制，至少每年对商业银行主要股东的资质条件、执行公司章程情况和承诺情况、行使股东权利和义务、落实法律法规和监管规定情况进行评估。</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银监会及其派出机构应当将评估工作纳入日常监管，并视情形采取限期整改等监管措施。</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 xml:space="preserve">第四十六条 </w:t>
      </w:r>
      <w:r>
        <w:rPr>
          <w:rFonts w:hint="eastAsia" w:ascii="华文楷体" w:hAnsi="华文楷体" w:eastAsia="华文楷体" w:cs="华文楷体"/>
          <w:bCs/>
          <w:shd w:val="clear" w:color="auto" w:fill="FFFFFF"/>
        </w:rPr>
        <w:t>商业银行主要股东为金融机构的，银监会及其派出机构应当与该金融机构的监管机构建立有效的信息交流和共享机制。</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第四十七条</w:t>
      </w:r>
      <w:r>
        <w:rPr>
          <w:rFonts w:hint="eastAsia" w:ascii="华文楷体" w:hAnsi="华文楷体" w:eastAsia="华文楷体" w:cs="华文楷体"/>
          <w:bCs/>
          <w:shd w:val="clear" w:color="auto" w:fill="FFFFFF"/>
        </w:rPr>
        <w:t xml:space="preserve"> 商业银行在股权管理过程中存在下列情形之一的，银监会或其派出机构应当责令限期改正；逾期未改正，或者其行为严重危及该商业银行的稳健运行、损害存款人和其他客户合法权益的，经银监会或其省一级派出机构负责人批准，可以区别情形，按照《中华人民共和国银行业监督管理法》第三十七条规定，采取相应的监管措施：</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（一）未按要求及时申请审批或报告的；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（二）提供虚假的或者隐瞒重要事实的报表、报告等文件、资料的；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（三）未按规定制定公司章程，明确股东权利义务的；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（四）未按规定进行股权托管的；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（五）未按规定进行信息披露的；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（六）未按规定开展关联交易的；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（七）未按规定进行股权质押管理的；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（八）拒绝或阻碍监管部门进行调查核实的；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（九）其他违反股权管理相关要求的。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第四十八条</w:t>
      </w:r>
      <w:r>
        <w:rPr>
          <w:rFonts w:hint="eastAsia" w:ascii="华文楷体" w:hAnsi="华文楷体" w:eastAsia="华文楷体" w:cs="华文楷体"/>
          <w:bCs/>
          <w:shd w:val="clear" w:color="auto" w:fill="FFFFFF"/>
        </w:rPr>
        <w:t xml:space="preserve"> 商业银行股东或其控股股东、实际控制人、关联方、一致行动人、最终受益人等存在下列情形，造成商业银行违反审慎经营规则的，银监会或其派出机构根据《中华人民共和国银行业监督管理法》第三十七条规定，可以责令商业银行控股股东转让股权；限制商业银行股东参与经营管理的相关权利，包括股东大会召开请求权、表决权、提名权、提案权、处分权等：</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（一）虚假出资、出资不实、抽逃出资或者变相抽逃出资的；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（二）违规使用委托资金、债务资金或其他非自有资金投资入股的；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（三）违规进行股权代持的；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（四）未按规定进行报告的；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（五）拒绝向商业银行、银监会或其派出机构提供文件材料或提供虚假文件材料、隐瞒重要信息以及迟延提供相关文件材料的；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（六）违反承诺或公司章程的；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（七）主要股东或其控股股东、实际控制人不符合本办法规定的监管要求的；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（八）违规开展关联交易的；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（九）违规进行股权质押的；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（十）拒绝或阻碍银监会或其派出机构进行调查核实的；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（十一）不配合银监会或其派出机构开展风险处置的；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（十二）其他滥用股东权利或不履行股东义务，损害商业银行、存款人或其他股东利益的。</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第四十九条</w:t>
      </w:r>
      <w:r>
        <w:rPr>
          <w:rFonts w:hint="eastAsia" w:ascii="华文楷体" w:hAnsi="华文楷体" w:eastAsia="华文楷体" w:cs="华文楷体"/>
          <w:bCs/>
          <w:shd w:val="clear" w:color="auto" w:fill="FFFFFF"/>
        </w:rPr>
        <w:t xml:space="preserve"> 商业银行未遵守本办法规定进行股权管理的，银监会或其派出机构可以调整该商业银行公司治理评价结果或监管评级。</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商业银行董事会成员在履职过程中未就股权管理方面的违法违规行为提出异议的，最近一次履职评价不得评为称职。</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第五十条</w:t>
      </w:r>
      <w:r>
        <w:rPr>
          <w:rFonts w:hint="eastAsia" w:ascii="华文楷体" w:hAnsi="华文楷体" w:eastAsia="华文楷体" w:cs="华文楷体"/>
          <w:bCs/>
          <w:shd w:val="clear" w:color="auto" w:fill="FFFFFF"/>
        </w:rPr>
        <w:t xml:space="preserve"> 银监会及其派出机构建立商业银行股权管理和股东行为不良记录数据库，通过全国信用信息共享平台与相关部门或政府机构共享信息。</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对于存在违法违规行为且拒不改正的股东，银监会及其派出机构可以单独或会同相关部门和单位予以联合惩戒，可通报、公开谴责、禁止其一定期限直至终身入股商业银行。</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jc w:val="center"/>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第六章　法律责任</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第五十一条</w:t>
      </w:r>
      <w:r>
        <w:rPr>
          <w:rFonts w:hint="eastAsia" w:ascii="华文楷体" w:hAnsi="华文楷体" w:eastAsia="华文楷体" w:cs="华文楷体"/>
          <w:bCs/>
          <w:shd w:val="clear" w:color="auto" w:fill="FFFFFF"/>
        </w:rPr>
        <w:t xml:space="preserve"> 商业银行未按要求对股东及其控股股东、实际控制人、关联方、一致行动人、最终受益人信息进行审查、审核或披露的，由银监会或其派出机构按照《中华人民共和国银行业监督管理法》第四十六条、第四十八条的规定，责令改正，并处二十万元以上五十万元以下罚款；对负有责任的董事长、董事会秘书和其他相关责任人员给予警告，处五万元以上五十万元以下罚款。</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 xml:space="preserve">第五十二条 </w:t>
      </w:r>
      <w:r>
        <w:rPr>
          <w:rFonts w:hint="eastAsia" w:ascii="华文楷体" w:hAnsi="华文楷体" w:eastAsia="华文楷体" w:cs="华文楷体"/>
          <w:bCs/>
          <w:shd w:val="clear" w:color="auto" w:fill="FFFFFF"/>
        </w:rPr>
        <w:t>商业银行存在本办法第四十七条规定的情形之一，情节较为严重的，由银监会或其派出机构按照《中华人民共和国银行业监督管理法》第四十六条、第四十七条、第四十八条规定，处二十万元以上五十万元以下罚款；情节特别严重或者逾期不改正的，可以责令停业整顿或者吊销其经营许可证。对负有责任的董事长、董事会秘书和其他相关责任人员给予警告，处五万元以上五十万元以下罚款，情节严重的，取消其董事和高管任职资格。</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第五十三条</w:t>
      </w:r>
      <w:r>
        <w:rPr>
          <w:rFonts w:hint="eastAsia" w:ascii="华文楷体" w:hAnsi="华文楷体" w:eastAsia="华文楷体" w:cs="华文楷体"/>
          <w:bCs/>
          <w:shd w:val="clear" w:color="auto" w:fill="FFFFFF"/>
        </w:rPr>
        <w:t xml:space="preserve"> 投资人未经批准持有商业银行资本总额或股份总额百分之五以上的，由银监会或其派出机构按照《中华人民共和国商业银行法》第七十九条规定，责令改正，有违法所得的，没收违法所得，违法所得五万元以上的，并处违法所得一倍以上五倍以下罚款；没有违法所得或违法所得不足五万元的，处五万元以上五十万元以下罚款。</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第五十四条</w:t>
      </w:r>
      <w:r>
        <w:rPr>
          <w:rFonts w:hint="eastAsia" w:ascii="华文楷体" w:hAnsi="华文楷体" w:eastAsia="华文楷体" w:cs="华文楷体"/>
          <w:bCs/>
          <w:shd w:val="clear" w:color="auto" w:fill="FFFFFF"/>
        </w:rPr>
        <w:t xml:space="preserve"> 商业银行股东或其控股股东、实际控制人、关联方、一致行动人、最终受益人等以隐瞒、欺骗等不正当手段获得批准持有商业银行资本总额或股份总额百分之五以上的，由银监会或其派出机构按照《中华人民共和国行政许可法》的规定，对相关行政许可予以撤销。</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jc w:val="center"/>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第七章  附则</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第五十五条 本办法所称“以上”均含本数，“以下”“不足”不含本数。</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第五十六条 本办法中下列用语的含义:</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一）控股股东，是指根据《中华人民共和国公司法》第二百一十六条规定，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（二）实际控制人，是指根据《中华人民共和国公司法》第二百一十六条规定，虽不是公司的股东，但通过投资关系、协议或者其他安排，能够实际支配公司行为的人。</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三）关联方，是指根据《企业会计准则第36号关联方披露》规定，一方控制、共同控制另一方或对另一方施加重大影响，以及两方或两方以上同受一方控制、共同控制或重大影响的。但国家控制的企业之间不仅因为同受国家控股而具有关联关系。</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（四）一致行动，是指投资者通过协议、其他安排，与其他投资者共同扩大其所能够支配的一个公司股份表决权数量的行为或者事实。达成一致行动的相关投资者，为一致行动人。</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（五）最终受益人，是指实际享有商业银行股权收益的人。</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第五十七条 在中华人民共和国境内依法设立的农村合作银行、农村信用社、贷款公司、农村资金互助社、金融资产管理公司、信托公司、企业集团财务公司、金融租赁公司、汽车金融公司、货币经纪公司、消费金融公司以及经银监会批准设立的其他金融机构，参照适用本办法，银监会另有规定的从其规定。</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 xml:space="preserve">第五十八条 </w:t>
      </w:r>
      <w:r>
        <w:rPr>
          <w:rFonts w:hint="eastAsia" w:ascii="华文楷体" w:hAnsi="华文楷体" w:eastAsia="华文楷体" w:cs="华文楷体"/>
          <w:bCs/>
          <w:shd w:val="clear" w:color="auto" w:fill="FFFFFF"/>
        </w:rPr>
        <w:t>本办法由银监会负责解释。</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第五十九条</w:t>
      </w:r>
      <w:r>
        <w:rPr>
          <w:rFonts w:hint="eastAsia" w:ascii="华文楷体" w:hAnsi="华文楷体" w:eastAsia="华文楷体" w:cs="华文楷体"/>
          <w:bCs/>
          <w:shd w:val="clear" w:color="auto" w:fill="FFFFFF"/>
        </w:rPr>
        <w:t xml:space="preserve"> 本办法自公布之日起施行。本办法施行前，银监会有关商业银行股权管理的规定与本办法不一致的，按照本办法执行。</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ind w:firstLine="480" w:firstLineChars="200"/>
        <w:rPr>
          <w:rFonts w:hint="eastAsia"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lang w:eastAsia="zh-CN"/>
        </w:rPr>
        <w:t>附件</w:t>
      </w:r>
      <w:r>
        <w:rPr>
          <w:rFonts w:hint="eastAsia" w:ascii="华文楷体" w:hAnsi="华文楷体" w:eastAsia="华文楷体" w:cs="华文楷体"/>
          <w:bCs/>
          <w:shd w:val="clear" w:color="auto" w:fill="FFFFFF"/>
          <w:lang w:val="en-US" w:eastAsia="zh-CN"/>
        </w:rPr>
        <w:t>1</w:t>
      </w:r>
      <w:r>
        <w:rPr>
          <w:rFonts w:hint="eastAsia" w:ascii="华文楷体" w:hAnsi="华文楷体" w:eastAsia="华文楷体" w:cs="华文楷体"/>
          <w:bCs/>
          <w:shd w:val="clear" w:color="auto" w:fill="FFFFFF"/>
        </w:rPr>
        <w:t>：中国银监会印发《商业银行股权管理暂行办法》</w:t>
      </w:r>
    </w:p>
    <w:p>
      <w:pPr>
        <w:spacing w:line="360" w:lineRule="auto"/>
        <w:ind w:firstLine="480" w:firstLineChars="200"/>
        <w:rPr>
          <w:rFonts w:hint="eastAsia" w:ascii="华文楷体" w:hAnsi="华文楷体" w:eastAsia="华文楷体" w:cs="华文楷体"/>
          <w:bCs/>
          <w:shd w:val="clear" w:color="auto" w:fill="FFFFFF"/>
        </w:rPr>
      </w:pPr>
    </w:p>
    <w:p>
      <w:pPr>
        <w:spacing w:line="360" w:lineRule="auto"/>
        <w:ind w:firstLine="561" w:firstLineChars="200"/>
        <w:jc w:val="center"/>
        <w:rPr>
          <w:rFonts w:hint="eastAsia" w:ascii="华文楷体" w:hAnsi="华文楷体" w:eastAsia="华文楷体" w:cs="华文楷体"/>
          <w:b/>
          <w:bCs w:val="0"/>
          <w:sz w:val="28"/>
          <w:szCs w:val="28"/>
          <w:shd w:val="clear" w:color="auto" w:fill="FFFFFF"/>
        </w:rPr>
      </w:pPr>
      <w:r>
        <w:rPr>
          <w:rFonts w:hint="eastAsia" w:ascii="华文楷体" w:hAnsi="华文楷体" w:eastAsia="华文楷体" w:cs="华文楷体"/>
          <w:b/>
          <w:bCs w:val="0"/>
          <w:sz w:val="28"/>
          <w:szCs w:val="28"/>
          <w:shd w:val="clear" w:color="auto" w:fill="FFFFFF"/>
        </w:rPr>
        <w:t>中国银监会印发《商业银行股权管理暂行办法》</w:t>
      </w:r>
    </w:p>
    <w:p>
      <w:pPr>
        <w:spacing w:line="360" w:lineRule="auto"/>
        <w:jc w:val="center"/>
        <w:rPr>
          <w:rFonts w:hint="eastAsia" w:ascii="宋体" w:hAnsi="宋体" w:eastAsia="宋体" w:cs="宋体"/>
          <w:color w:val="000000"/>
          <w:sz w:val="18"/>
          <w:szCs w:val="18"/>
          <w:shd w:val="clear" w:color="auto" w:fill="FFFFFF"/>
          <w:lang w:val="en-US" w:eastAsia="zh-CN"/>
        </w:rPr>
      </w:pPr>
      <w:r>
        <w:rPr>
          <w:rFonts w:hint="eastAsia" w:ascii="宋体" w:hAnsi="宋体" w:eastAsia="宋体" w:cs="宋体"/>
          <w:color w:val="000000"/>
          <w:sz w:val="18"/>
          <w:szCs w:val="18"/>
          <w:shd w:val="clear" w:color="auto" w:fill="FFFFFF"/>
          <w:lang w:val="en-US" w:eastAsia="zh-CN"/>
        </w:rPr>
        <w:t>2018年1月5日  来源：中国银行业监督管理委员会宣传部</w:t>
      </w:r>
    </w:p>
    <w:p>
      <w:pPr>
        <w:spacing w:line="360" w:lineRule="auto"/>
        <w:jc w:val="center"/>
        <w:rPr>
          <w:rFonts w:hint="eastAsia" w:ascii="宋体" w:hAnsi="宋体" w:eastAsia="宋体" w:cs="宋体"/>
          <w:color w:val="000000"/>
          <w:sz w:val="18"/>
          <w:szCs w:val="18"/>
          <w:shd w:val="clear" w:color="auto" w:fill="FFFFFF"/>
          <w:lang w:val="en-US" w:eastAsia="zh-CN"/>
        </w:rPr>
      </w:pPr>
    </w:p>
    <w:p>
      <w:pPr>
        <w:spacing w:line="360" w:lineRule="auto"/>
        <w:ind w:firstLine="480" w:firstLineChars="200"/>
        <w:rPr>
          <w:rFonts w:hint="eastAsia"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为加强商业银行股权管理，规范商业银行股东行为，弥补监管短板，银监会印发《商业银行股权管理暂行办法》（以下简称《办法》）。</w:t>
      </w:r>
    </w:p>
    <w:p>
      <w:pPr>
        <w:spacing w:line="360" w:lineRule="auto"/>
        <w:ind w:firstLine="480" w:firstLineChars="200"/>
        <w:rPr>
          <w:rFonts w:hint="eastAsia"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办法》的制定和发布是银监会深入贯彻落实党的十九大精神和习近平总书记关于做好金融工作系列重要讲话精神的重大举措，也是整治金融市场乱象、弥补监管短板的重要规制。针对违反规定未经批准持有银行股权、入股资金来源不符合自有资金要求、违规代持、股权结构不清晰、违规开展关联交易进行利益输送以及滥用股东权利损害银行利益等现象，《办法》旨在规范商业银行股东特别是主要股东行为，加强股东资质的穿透审查，加大对违法违规行为的查处力度，保护商业银行存款人和其他客户合法权益，维护股东合法利益，从而保障商业银行安全稳健运行，促进商业银行持续健康发展。</w:t>
      </w:r>
    </w:p>
    <w:p>
      <w:pPr>
        <w:spacing w:line="360" w:lineRule="auto"/>
        <w:ind w:firstLine="480" w:firstLineChars="200"/>
        <w:rPr>
          <w:rFonts w:hint="eastAsia"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《办法》包括总则、股东责任、商业银行职责、信息披露、监督管理、法律责任、附则七个章节，共五十九条。《办法》突出问题导向，重点强调以下内容：</w:t>
      </w:r>
    </w:p>
    <w:p>
      <w:pPr>
        <w:spacing w:line="360" w:lineRule="auto"/>
        <w:ind w:firstLine="480" w:firstLineChars="200"/>
        <w:rPr>
          <w:rFonts w:hint="eastAsia"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一是建立健全了从股东、商业银行到监管部门“三位一体”的穿透监管框架，重点解决隐形股东、股份代持等问题。股东信息的全面、真实、准确，是商业银行股权管理的基础。针对隐形股东、股份代持等违规行为，《办法》明确了主要股东信息报送责任、商业银行信息核实责任以及监管部门的最终认定责任，建立健全了“三位一体”的穿透监管框架。</w:t>
      </w:r>
    </w:p>
    <w:p>
      <w:pPr>
        <w:spacing w:line="360" w:lineRule="auto"/>
        <w:ind w:firstLine="480" w:firstLineChars="200"/>
        <w:rPr>
          <w:rFonts w:hint="eastAsia"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二是明确主要股东范围，加强对主要股东行为的规范，重点解决大股东滥用股东权利、干预银行经营等问题。重点将主要股东界定为“持有或控制商业银行百分之五以上股份或表决权，或持有股份总额不足百分之五但对商业银行经营管理有重大影响的股东”。在信息披露、入股数量、持股期限、资本补充以及公司治理等方面，对主要股东提出明确要求，切实防范大股东违规干预商业银行经营管理现象。</w:t>
      </w:r>
    </w:p>
    <w:p>
      <w:pPr>
        <w:spacing w:line="360" w:lineRule="auto"/>
        <w:ind w:firstLine="480" w:firstLineChars="200"/>
        <w:rPr>
          <w:rFonts w:hint="eastAsia"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三是强化商业银行与股东及相关人员的关联交易管理，重点解决利益输送、掏空银行等问题。《办法》将主要股东及其控股股东、实际控制人、关联方、一致行动人、最终受益人纳入商业银行的关联方管理，覆盖商业银行实质承担信用风险的各类关联交易类型，防止股东通过同业投资、资管计划等渠道转移、侵占商业银行资金行为。</w:t>
      </w:r>
    </w:p>
    <w:p>
      <w:pPr>
        <w:spacing w:line="360" w:lineRule="auto"/>
        <w:ind w:firstLine="480" w:firstLineChars="200"/>
        <w:rPr>
          <w:rFonts w:hint="eastAsia"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四是明确金融产品入股商业银行规则，重点解决利用金融产品入股问题。考虑到当前信托产品、公募基金、私募基金、证券公司资管计划、基金及其子公司资管计划和保险资管计划等金融产品已成为证券市场的重要投资者，《办法》规定了金融产品入股商业银行规则。即金融产品可以持有上市商业银行股份，但单一投资人、发行人或管理人及其实际控制人、关联方、一致行动人控制的金融产品持有同一商业银行股份合计不得超过该商业银行股份总额的百分之五。此外，商业银行主要股东不得以发行、管理或通过其他手段控制的金融产品持有同一商业银行股份。</w:t>
      </w:r>
    </w:p>
    <w:p>
      <w:pPr>
        <w:spacing w:line="360" w:lineRule="auto"/>
        <w:ind w:firstLine="480" w:firstLineChars="200"/>
        <w:rPr>
          <w:rFonts w:hint="eastAsia"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五是强化监管部门职责，明确监管手段。《办法》贯彻分类监管原则，将对商业银行经营管理有重大影响的主要股东作为监管重点。设立专章规定监管部门在股权管理方面的监管职责和手段，重点加强穿透监管、对违规不改正的股东采取限制股东权利，责令商业银行控股股东转让股权等监管措施。同时，通过信息披露、联合惩戒等方式，借助市场力量做好股权监管工作。</w:t>
      </w:r>
    </w:p>
    <w:p>
      <w:pPr>
        <w:spacing w:line="360" w:lineRule="auto"/>
        <w:ind w:firstLine="480" w:firstLineChars="200"/>
        <w:rPr>
          <w:rFonts w:hint="eastAsia"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为配合《办法》实施，银监会将印发通知，重点解决存量股东规范问题。</w:t>
      </w: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ind w:left="0" w:leftChars="0" w:firstLine="0" w:firstLineChars="0"/>
        <w:jc w:val="both"/>
        <w:rPr>
          <w:rFonts w:hint="eastAsia"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lang w:eastAsia="zh-CN"/>
        </w:rPr>
        <w:t>附件</w:t>
      </w:r>
      <w:r>
        <w:rPr>
          <w:rFonts w:hint="eastAsia" w:ascii="华文楷体" w:hAnsi="华文楷体" w:eastAsia="华文楷体" w:cs="华文楷体"/>
          <w:bCs/>
          <w:shd w:val="clear" w:color="auto" w:fill="FFFFFF"/>
          <w:lang w:val="en-US" w:eastAsia="zh-CN"/>
        </w:rPr>
        <w:t>2：</w:t>
      </w:r>
      <w:r>
        <w:rPr>
          <w:rFonts w:hint="eastAsia" w:ascii="华文楷体" w:hAnsi="华文楷体" w:eastAsia="华文楷体" w:cs="华文楷体"/>
          <w:bCs/>
          <w:shd w:val="clear" w:color="auto" w:fill="FFFFFF"/>
        </w:rPr>
        <w:t>银监会有关部门负责人就《商业银行股权管理暂行办法》答记者问</w:t>
      </w:r>
    </w:p>
    <w:p>
      <w:pPr>
        <w:spacing w:line="360" w:lineRule="auto"/>
        <w:ind w:left="0" w:leftChars="0" w:firstLine="0" w:firstLineChars="0"/>
        <w:jc w:val="both"/>
        <w:rPr>
          <w:rFonts w:hint="eastAsia" w:ascii="华文楷体" w:hAnsi="华文楷体" w:eastAsia="华文楷体" w:cs="华文楷体"/>
          <w:bCs/>
          <w:shd w:val="clear" w:color="auto" w:fill="FFFFFF"/>
          <w:lang w:eastAsia="zh-CN"/>
        </w:rPr>
      </w:pPr>
    </w:p>
    <w:p>
      <w:pPr>
        <w:spacing w:line="360" w:lineRule="auto"/>
        <w:jc w:val="center"/>
        <w:rPr>
          <w:rFonts w:hint="eastAsia" w:ascii="华文楷体" w:hAnsi="华文楷体" w:eastAsia="华文楷体" w:cs="华文楷体"/>
          <w:b/>
          <w:bCs w:val="0"/>
          <w:sz w:val="28"/>
          <w:szCs w:val="28"/>
          <w:shd w:val="clear" w:color="auto" w:fill="FFFFFF"/>
          <w:lang w:eastAsia="zh-CN"/>
        </w:rPr>
      </w:pPr>
      <w:r>
        <w:rPr>
          <w:rFonts w:hint="eastAsia" w:ascii="华文楷体" w:hAnsi="华文楷体" w:eastAsia="华文楷体" w:cs="华文楷体"/>
          <w:b/>
          <w:bCs w:val="0"/>
          <w:sz w:val="28"/>
          <w:szCs w:val="28"/>
          <w:shd w:val="clear" w:color="auto" w:fill="FFFFFF"/>
          <w:lang w:eastAsia="zh-CN"/>
        </w:rPr>
        <w:t>银监会有关部门负责人就《商业银行股权管理暂行办法》答记者问</w:t>
      </w:r>
    </w:p>
    <w:p>
      <w:pPr>
        <w:spacing w:line="360" w:lineRule="auto"/>
        <w:jc w:val="center"/>
        <w:rPr>
          <w:rFonts w:hint="eastAsia" w:ascii="宋体" w:hAnsi="宋体" w:eastAsia="宋体" w:cs="宋体"/>
          <w:color w:val="000000"/>
          <w:sz w:val="18"/>
          <w:szCs w:val="18"/>
          <w:shd w:val="clear" w:color="auto" w:fill="FFFFFF"/>
          <w:lang w:val="en-US" w:eastAsia="zh-CN"/>
        </w:rPr>
      </w:pPr>
      <w:r>
        <w:rPr>
          <w:rFonts w:hint="eastAsia" w:ascii="宋体" w:hAnsi="宋体" w:eastAsia="宋体" w:cs="宋体"/>
          <w:color w:val="000000"/>
          <w:sz w:val="18"/>
          <w:szCs w:val="18"/>
          <w:shd w:val="clear" w:color="auto" w:fill="FFFFFF"/>
          <w:lang w:val="en-US" w:eastAsia="zh-CN"/>
        </w:rPr>
        <w:t>2018年1月5日  来源：中国银行业监督管理委员会宣传部</w:t>
      </w:r>
    </w:p>
    <w:p>
      <w:pPr>
        <w:spacing w:line="360" w:lineRule="auto"/>
        <w:jc w:val="center"/>
        <w:rPr>
          <w:rFonts w:hint="eastAsia" w:ascii="宋体" w:hAnsi="宋体" w:eastAsia="宋体" w:cs="宋体"/>
          <w:color w:val="000000"/>
          <w:sz w:val="18"/>
          <w:szCs w:val="18"/>
          <w:shd w:val="clear" w:color="auto" w:fill="FFFFFF"/>
          <w:lang w:val="en-US" w:eastAsia="zh-CN"/>
        </w:rPr>
      </w:pP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val="0"/>
          <w:bCs/>
          <w:sz w:val="24"/>
          <w:szCs w:val="24"/>
          <w:shd w:val="clear" w:color="auto" w:fill="FFFFFF"/>
          <w:lang w:eastAsia="zh-CN"/>
        </w:rPr>
        <w:t>为规范商业银行股东行为，保护商业银行、存款人和其他客户的合法权益，维护股东的合法利益，促进商业银行持续健康发展，银监会印发了《商业银行股权管理暂行办法》（以下简称《办法》）。银监会有关部门负责人回答了记者提问。</w:t>
      </w:r>
    </w:p>
    <w:p>
      <w:pPr>
        <w:spacing w:line="360" w:lineRule="auto"/>
        <w:ind w:firstLine="480" w:firstLineChars="200"/>
        <w:jc w:val="left"/>
        <w:rPr>
          <w:rFonts w:hint="eastAsia" w:ascii="华文楷体" w:hAnsi="华文楷体" w:eastAsia="华文楷体" w:cs="华文楷体"/>
          <w:b/>
          <w:bCs w:val="0"/>
          <w:sz w:val="24"/>
          <w:szCs w:val="24"/>
          <w:shd w:val="clear" w:color="auto" w:fill="FFFFFF"/>
          <w:lang w:eastAsia="zh-CN"/>
        </w:rPr>
      </w:pPr>
      <w:r>
        <w:rPr>
          <w:rFonts w:hint="eastAsia" w:ascii="华文楷体" w:hAnsi="华文楷体" w:eastAsia="华文楷体" w:cs="华文楷体"/>
          <w:b/>
          <w:bCs w:val="0"/>
          <w:sz w:val="24"/>
          <w:szCs w:val="24"/>
          <w:shd w:val="clear" w:color="auto" w:fill="FFFFFF"/>
          <w:lang w:eastAsia="zh-CN"/>
        </w:rPr>
        <w:t>一、发布《办法》的背景是什么？</w:t>
      </w: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val="0"/>
          <w:bCs/>
          <w:sz w:val="24"/>
          <w:szCs w:val="24"/>
          <w:shd w:val="clear" w:color="auto" w:fill="FFFFFF"/>
          <w:lang w:eastAsia="zh-CN"/>
        </w:rPr>
        <w:t>答：银监会一直积极贯彻落实党中央、国务院关于防控金融风险、弥补监管短板的决策部署，大力排查监管制度漏洞，坚决治理市场乱象，坚决打击违法行为。当前，银行业金融机构快速发展，社会资本发起设立、参股或收购银行业金融机构的积极性不断提高。但一些乱象也随之发生，如违规使用非自有资金入股、代持股份、滥用股东权利损害银行利益等。为治理上述市场乱象，切实弥补监管短板，银监会组织起草了《办法》。</w:t>
      </w:r>
    </w:p>
    <w:p>
      <w:pPr>
        <w:spacing w:line="360" w:lineRule="auto"/>
        <w:ind w:firstLine="480" w:firstLineChars="200"/>
        <w:jc w:val="left"/>
        <w:rPr>
          <w:rFonts w:hint="eastAsia" w:ascii="华文楷体" w:hAnsi="华文楷体" w:eastAsia="华文楷体" w:cs="华文楷体"/>
          <w:b/>
          <w:bCs w:val="0"/>
          <w:sz w:val="24"/>
          <w:szCs w:val="24"/>
          <w:shd w:val="clear" w:color="auto" w:fill="FFFFFF"/>
          <w:lang w:eastAsia="zh-CN"/>
        </w:rPr>
      </w:pPr>
      <w:r>
        <w:rPr>
          <w:rFonts w:hint="eastAsia" w:ascii="华文楷体" w:hAnsi="华文楷体" w:eastAsia="华文楷体" w:cs="华文楷体"/>
          <w:b/>
          <w:bCs w:val="0"/>
          <w:sz w:val="24"/>
          <w:szCs w:val="24"/>
          <w:shd w:val="clear" w:color="auto" w:fill="FFFFFF"/>
          <w:lang w:eastAsia="zh-CN"/>
        </w:rPr>
        <w:t>二、《办法》确立了哪些立法原则？</w:t>
      </w: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val="0"/>
          <w:bCs/>
          <w:sz w:val="24"/>
          <w:szCs w:val="24"/>
          <w:shd w:val="clear" w:color="auto" w:fill="FFFFFF"/>
          <w:lang w:eastAsia="zh-CN"/>
        </w:rPr>
        <w:t>答：《办法》提出了“分类管理、资质优良、关系清晰、权责明确、公开透明”的二十字原则。</w:t>
      </w:r>
      <w:r>
        <w:rPr>
          <w:rFonts w:hint="eastAsia" w:ascii="华文楷体" w:hAnsi="华文楷体" w:eastAsia="华文楷体" w:cs="华文楷体"/>
          <w:b/>
          <w:bCs w:val="0"/>
          <w:sz w:val="24"/>
          <w:szCs w:val="24"/>
          <w:shd w:val="clear" w:color="auto" w:fill="FFFFFF"/>
          <w:lang w:eastAsia="zh-CN"/>
        </w:rPr>
        <w:t>分类管理</w:t>
      </w:r>
      <w:r>
        <w:rPr>
          <w:rFonts w:hint="eastAsia" w:ascii="华文楷体" w:hAnsi="华文楷体" w:eastAsia="华文楷体" w:cs="华文楷体"/>
          <w:b w:val="0"/>
          <w:bCs/>
          <w:sz w:val="24"/>
          <w:szCs w:val="24"/>
          <w:shd w:val="clear" w:color="auto" w:fill="FFFFFF"/>
          <w:lang w:eastAsia="zh-CN"/>
        </w:rPr>
        <w:t>，即根据对商业银行经营管理的影响，将股东分为主要股东和一般股东。</w:t>
      </w:r>
      <w:r>
        <w:rPr>
          <w:rFonts w:hint="eastAsia" w:ascii="华文楷体" w:hAnsi="华文楷体" w:eastAsia="华文楷体" w:cs="华文楷体"/>
          <w:b/>
          <w:bCs w:val="0"/>
          <w:sz w:val="24"/>
          <w:szCs w:val="24"/>
          <w:shd w:val="clear" w:color="auto" w:fill="FFFFFF"/>
          <w:lang w:eastAsia="zh-CN"/>
        </w:rPr>
        <w:t>资质优良</w:t>
      </w:r>
      <w:r>
        <w:rPr>
          <w:rFonts w:hint="eastAsia" w:ascii="华文楷体" w:hAnsi="华文楷体" w:eastAsia="华文楷体" w:cs="华文楷体"/>
          <w:b w:val="0"/>
          <w:bCs/>
          <w:sz w:val="24"/>
          <w:szCs w:val="24"/>
          <w:shd w:val="clear" w:color="auto" w:fill="FFFFFF"/>
          <w:lang w:eastAsia="zh-CN"/>
        </w:rPr>
        <w:t>，即商业银行股东应是公司治理良好、财务状况稳健、诚实守信、合规经营的优质企业，并符合法律法规规定和监管规定。</w:t>
      </w:r>
      <w:r>
        <w:rPr>
          <w:rFonts w:hint="eastAsia" w:ascii="华文楷体" w:hAnsi="华文楷体" w:eastAsia="华文楷体" w:cs="华文楷体"/>
          <w:b/>
          <w:bCs w:val="0"/>
          <w:sz w:val="24"/>
          <w:szCs w:val="24"/>
          <w:shd w:val="clear" w:color="auto" w:fill="FFFFFF"/>
          <w:lang w:eastAsia="zh-CN"/>
        </w:rPr>
        <w:t>关系清晰</w:t>
      </w:r>
      <w:r>
        <w:rPr>
          <w:rFonts w:hint="eastAsia" w:ascii="华文楷体" w:hAnsi="华文楷体" w:eastAsia="华文楷体" w:cs="华文楷体"/>
          <w:b w:val="0"/>
          <w:bCs/>
          <w:sz w:val="24"/>
          <w:szCs w:val="24"/>
          <w:shd w:val="clear" w:color="auto" w:fill="FFFFFF"/>
          <w:lang w:eastAsia="zh-CN"/>
        </w:rPr>
        <w:t>，即商业银行的股东及其控股股东、实际控制人、关联方、一致行动人、最终受益人等各方关系应清晰透明。</w:t>
      </w:r>
      <w:r>
        <w:rPr>
          <w:rFonts w:hint="eastAsia" w:ascii="华文楷体" w:hAnsi="华文楷体" w:eastAsia="华文楷体" w:cs="华文楷体"/>
          <w:b/>
          <w:bCs w:val="0"/>
          <w:sz w:val="24"/>
          <w:szCs w:val="24"/>
          <w:shd w:val="clear" w:color="auto" w:fill="FFFFFF"/>
          <w:lang w:eastAsia="zh-CN"/>
        </w:rPr>
        <w:t>权责明确</w:t>
      </w:r>
      <w:r>
        <w:rPr>
          <w:rFonts w:hint="eastAsia" w:ascii="华文楷体" w:hAnsi="华文楷体" w:eastAsia="华文楷体" w:cs="华文楷体"/>
          <w:b w:val="0"/>
          <w:bCs/>
          <w:sz w:val="24"/>
          <w:szCs w:val="24"/>
          <w:shd w:val="clear" w:color="auto" w:fill="FFFFFF"/>
          <w:lang w:eastAsia="zh-CN"/>
        </w:rPr>
        <w:t>，即商业银行股东应依法行使股东权利，履行法定义务；商业银行应加强对股权事务的管理；银监会及其派出机构应依法实施监管。</w:t>
      </w:r>
      <w:r>
        <w:rPr>
          <w:rFonts w:hint="eastAsia" w:ascii="华文楷体" w:hAnsi="华文楷体" w:eastAsia="华文楷体" w:cs="华文楷体"/>
          <w:b/>
          <w:bCs w:val="0"/>
          <w:sz w:val="24"/>
          <w:szCs w:val="24"/>
          <w:shd w:val="clear" w:color="auto" w:fill="FFFFFF"/>
          <w:lang w:eastAsia="zh-CN"/>
        </w:rPr>
        <w:t>公开透明</w:t>
      </w:r>
      <w:r>
        <w:rPr>
          <w:rFonts w:hint="eastAsia" w:ascii="华文楷体" w:hAnsi="华文楷体" w:eastAsia="华文楷体" w:cs="华文楷体"/>
          <w:b w:val="0"/>
          <w:bCs/>
          <w:sz w:val="24"/>
          <w:szCs w:val="24"/>
          <w:shd w:val="clear" w:color="auto" w:fill="FFFFFF"/>
          <w:lang w:eastAsia="zh-CN"/>
        </w:rPr>
        <w:t>，即商业银行及其股东应根据法律法规和监管要求，充分披露相关信息，接受社会监督。</w:t>
      </w: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bCs w:val="0"/>
          <w:sz w:val="24"/>
          <w:szCs w:val="24"/>
          <w:shd w:val="clear" w:color="auto" w:fill="FFFFFF"/>
          <w:lang w:eastAsia="zh-CN"/>
        </w:rPr>
        <w:t>三、《办法》在穿透监管方面有哪些举措？</w:t>
      </w: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val="0"/>
          <w:bCs/>
          <w:sz w:val="24"/>
          <w:szCs w:val="24"/>
          <w:shd w:val="clear" w:color="auto" w:fill="FFFFFF"/>
          <w:lang w:eastAsia="zh-CN"/>
        </w:rPr>
        <w:t>答：建立健全了从股东、商业银行到监管部门的“三位一体”的穿透监管框架。</w:t>
      </w:r>
      <w:r>
        <w:rPr>
          <w:rFonts w:hint="eastAsia" w:ascii="华文楷体" w:hAnsi="华文楷体" w:eastAsia="华文楷体" w:cs="华文楷体"/>
          <w:b/>
          <w:bCs w:val="0"/>
          <w:sz w:val="24"/>
          <w:szCs w:val="24"/>
          <w:shd w:val="clear" w:color="auto" w:fill="FFFFFF"/>
          <w:lang w:eastAsia="zh-CN"/>
        </w:rPr>
        <w:t>股东方面</w:t>
      </w:r>
      <w:r>
        <w:rPr>
          <w:rFonts w:hint="eastAsia" w:ascii="华文楷体" w:hAnsi="华文楷体" w:eastAsia="华文楷体" w:cs="华文楷体"/>
          <w:b w:val="0"/>
          <w:bCs/>
          <w:sz w:val="24"/>
          <w:szCs w:val="24"/>
          <w:shd w:val="clear" w:color="auto" w:fill="FFFFFF"/>
          <w:lang w:eastAsia="zh-CN"/>
        </w:rPr>
        <w:t>，《办法》要求主要股东应向商业银行和监管部门逐层说明股权结构直至实际控制人、最终受益人，以及其与其他股东的关联关系或一致行动人关系；存在虚假陈述、隐瞒的股东将可能被限制股东权利。</w:t>
      </w:r>
      <w:r>
        <w:rPr>
          <w:rFonts w:hint="eastAsia" w:ascii="华文楷体" w:hAnsi="华文楷体" w:eastAsia="华文楷体" w:cs="华文楷体"/>
          <w:b/>
          <w:bCs w:val="0"/>
          <w:sz w:val="24"/>
          <w:szCs w:val="24"/>
          <w:shd w:val="clear" w:color="auto" w:fill="FFFFFF"/>
          <w:lang w:eastAsia="zh-CN"/>
        </w:rPr>
        <w:t>商业银行方面</w:t>
      </w:r>
      <w:r>
        <w:rPr>
          <w:rFonts w:hint="eastAsia" w:ascii="华文楷体" w:hAnsi="华文楷体" w:eastAsia="华文楷体" w:cs="华文楷体"/>
          <w:b w:val="0"/>
          <w:bCs/>
          <w:sz w:val="24"/>
          <w:szCs w:val="24"/>
          <w:shd w:val="clear" w:color="auto" w:fill="FFFFFF"/>
          <w:lang w:eastAsia="zh-CN"/>
        </w:rPr>
        <w:t>，《办法》要求其加强对股东资质的审查，应对主要股东及其控股股东、实际控制人、关联方、一致行动人、最终受益人信息进行核实并掌握其变动情况；未履行穿透审查职责的，要承担相应的法律责任。</w:t>
      </w:r>
      <w:r>
        <w:rPr>
          <w:rFonts w:hint="eastAsia" w:ascii="华文楷体" w:hAnsi="华文楷体" w:eastAsia="华文楷体" w:cs="华文楷体"/>
          <w:b/>
          <w:bCs w:val="0"/>
          <w:sz w:val="24"/>
          <w:szCs w:val="24"/>
          <w:shd w:val="clear" w:color="auto" w:fill="FFFFFF"/>
          <w:lang w:eastAsia="zh-CN"/>
        </w:rPr>
        <w:t>监管部门方面</w:t>
      </w:r>
      <w:r>
        <w:rPr>
          <w:rFonts w:hint="eastAsia" w:ascii="华文楷体" w:hAnsi="华文楷体" w:eastAsia="华文楷体" w:cs="华文楷体"/>
          <w:b w:val="0"/>
          <w:bCs/>
          <w:sz w:val="24"/>
          <w:szCs w:val="24"/>
          <w:shd w:val="clear" w:color="auto" w:fill="FFFFFF"/>
          <w:lang w:eastAsia="zh-CN"/>
        </w:rPr>
        <w:t xml:space="preserve">，《办法》要求将股东及其关联方、一致行动人的持股比例合并计算；监管部门有权对股东的关联方、一致行动人、实际控制人及最终受益人进行认定；对隐瞒不报或提供虚假材料的股东，有权采取监管措施，限制相关股东权利。 </w:t>
      </w: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bCs w:val="0"/>
          <w:sz w:val="24"/>
          <w:szCs w:val="24"/>
          <w:shd w:val="clear" w:color="auto" w:fill="FFFFFF"/>
          <w:lang w:eastAsia="zh-CN"/>
        </w:rPr>
        <w:t>四、《办法》对主要股东提出了哪些要求？</w:t>
      </w: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val="0"/>
          <w:bCs/>
          <w:sz w:val="24"/>
          <w:szCs w:val="24"/>
          <w:shd w:val="clear" w:color="auto" w:fill="FFFFFF"/>
          <w:lang w:eastAsia="zh-CN"/>
        </w:rPr>
        <w:t>答：《办法》落实分类监管原则，将监管重点聚焦主要股东，防止其滥用权利、掏空银行等行为。一是要求主要股东书面承诺遵守法规规定并说明入股商业银行目的。二是要求主要股东披露股权结构直至实际控制人、最终受益人。三是限制主要股东入股商业银行数量。四是建立主要股东行为负面清单。五是要求主要股东自取得股份之日起五年内不得转让所持有的股权。六是要求主要股东不得违规干预商业银行经营管理。七是要求主要股东承担资本补充责任。八是要求主要股东建立风险隔离机制。九是要求主要股东防范因人员交叉任职引起利益冲突。</w:t>
      </w:r>
    </w:p>
    <w:p>
      <w:pPr>
        <w:spacing w:line="360" w:lineRule="auto"/>
        <w:ind w:firstLine="480" w:firstLineChars="200"/>
        <w:jc w:val="left"/>
        <w:rPr>
          <w:rFonts w:hint="eastAsia" w:ascii="华文楷体" w:hAnsi="华文楷体" w:eastAsia="华文楷体" w:cs="华文楷体"/>
          <w:b/>
          <w:bCs w:val="0"/>
          <w:sz w:val="24"/>
          <w:szCs w:val="24"/>
          <w:shd w:val="clear" w:color="auto" w:fill="FFFFFF"/>
          <w:lang w:eastAsia="zh-CN"/>
        </w:rPr>
      </w:pPr>
      <w:r>
        <w:rPr>
          <w:rFonts w:hint="eastAsia" w:ascii="华文楷体" w:hAnsi="华文楷体" w:eastAsia="华文楷体" w:cs="华文楷体"/>
          <w:b/>
          <w:bCs w:val="0"/>
          <w:sz w:val="24"/>
          <w:szCs w:val="24"/>
          <w:shd w:val="clear" w:color="auto" w:fill="FFFFFF"/>
          <w:lang w:eastAsia="zh-CN"/>
        </w:rPr>
        <w:t>五、入股商业银行有哪些数量限制？</w:t>
      </w: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val="0"/>
          <w:bCs/>
          <w:sz w:val="24"/>
          <w:szCs w:val="24"/>
          <w:shd w:val="clear" w:color="auto" w:fill="FFFFFF"/>
          <w:lang w:eastAsia="zh-CN"/>
        </w:rPr>
        <w:t>答：为保障银行体系安全稳健运行和持续健康发展，《办法》明确规定，同一投资人及其关联方、一致行动人作为主要股东参股商业银行的数量不得超过2家，或控股商业银行的数量不得超过1家。同时也明确了例外条款，即根据国务院授权持有商业银行股权的投资主体、银行业金融机构，法律法规另有规定的主体入股商业银行，以及投资人经银监会批准并购重组高风险商业银行，不受本条前款规定限制。</w:t>
      </w: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bCs w:val="0"/>
          <w:sz w:val="24"/>
          <w:szCs w:val="24"/>
          <w:shd w:val="clear" w:color="auto" w:fill="FFFFFF"/>
          <w:lang w:eastAsia="zh-CN"/>
        </w:rPr>
        <w:t>六、在关联交易管理方面有哪些举措？</w:t>
      </w: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val="0"/>
          <w:bCs/>
          <w:sz w:val="24"/>
          <w:szCs w:val="24"/>
          <w:shd w:val="clear" w:color="auto" w:fill="FFFFFF"/>
          <w:lang w:eastAsia="zh-CN"/>
        </w:rPr>
        <w:t>答：《办法》强化了商业银行与股东及相关人员的关联交易管理。</w:t>
      </w:r>
      <w:r>
        <w:rPr>
          <w:rFonts w:hint="eastAsia" w:ascii="华文楷体" w:hAnsi="华文楷体" w:eastAsia="华文楷体" w:cs="华文楷体"/>
          <w:b/>
          <w:bCs w:val="0"/>
          <w:sz w:val="24"/>
          <w:szCs w:val="24"/>
          <w:shd w:val="clear" w:color="auto" w:fill="FFFFFF"/>
          <w:lang w:eastAsia="zh-CN"/>
        </w:rPr>
        <w:t>在关联方范围方面</w:t>
      </w:r>
      <w:r>
        <w:rPr>
          <w:rFonts w:hint="eastAsia" w:ascii="华文楷体" w:hAnsi="华文楷体" w:eastAsia="华文楷体" w:cs="华文楷体"/>
          <w:b w:val="0"/>
          <w:bCs/>
          <w:sz w:val="24"/>
          <w:szCs w:val="24"/>
          <w:shd w:val="clear" w:color="auto" w:fill="FFFFFF"/>
          <w:lang w:eastAsia="zh-CN"/>
        </w:rPr>
        <w:t>，《办法》要求商业银行按照穿透原则将主要股东及其控股股东、实际控制人、关联方、一致行动人、最终受益人作为自身的关联方进行管理。</w:t>
      </w:r>
      <w:r>
        <w:rPr>
          <w:rFonts w:hint="eastAsia" w:ascii="华文楷体" w:hAnsi="华文楷体" w:eastAsia="华文楷体" w:cs="华文楷体"/>
          <w:b/>
          <w:bCs w:val="0"/>
          <w:sz w:val="24"/>
          <w:szCs w:val="24"/>
          <w:shd w:val="clear" w:color="auto" w:fill="FFFFFF"/>
          <w:lang w:eastAsia="zh-CN"/>
        </w:rPr>
        <w:t>在关联授信方面</w:t>
      </w:r>
      <w:r>
        <w:rPr>
          <w:rFonts w:hint="eastAsia" w:ascii="华文楷体" w:hAnsi="华文楷体" w:eastAsia="华文楷体" w:cs="华文楷体"/>
          <w:b w:val="0"/>
          <w:bCs/>
          <w:sz w:val="24"/>
          <w:szCs w:val="24"/>
          <w:shd w:val="clear" w:color="auto" w:fill="FFFFFF"/>
          <w:lang w:eastAsia="zh-CN"/>
        </w:rPr>
        <w:t>，一是明确授信限额。参照《商业银行与内部人和股东关联交易管理办法》等规定，明确商业银行对主要股东或其控股股东、实际控制人、关联方、一致行动人、最终受益人等单个主体的授信余额不得超过商业银行资本净额的10%；对单个主要股东及其控股股东、实际控制人、关联方、一致行动人、最终受益人的合计授信余额不得超过商业银行资本净额的15%。二是明确授信的内涵和外延。明确授信包括贷款（含贸易融资）、票据承兑和贴现、透支、债券投资、特定目的载体投资、开立信用证、保理、担保、贷款承诺，以及其他实质上由商业银行或商业银行发行的理财产品承担信用风险的业务。</w:t>
      </w:r>
      <w:r>
        <w:rPr>
          <w:rFonts w:hint="eastAsia" w:ascii="华文楷体" w:hAnsi="华文楷体" w:eastAsia="华文楷体" w:cs="华文楷体"/>
          <w:b/>
          <w:bCs w:val="0"/>
          <w:sz w:val="24"/>
          <w:szCs w:val="24"/>
          <w:shd w:val="clear" w:color="auto" w:fill="FFFFFF"/>
          <w:lang w:eastAsia="zh-CN"/>
        </w:rPr>
        <w:t>在其他关联交易方面</w:t>
      </w:r>
      <w:r>
        <w:rPr>
          <w:rFonts w:hint="eastAsia" w:ascii="华文楷体" w:hAnsi="华文楷体" w:eastAsia="华文楷体" w:cs="华文楷体"/>
          <w:b w:val="0"/>
          <w:bCs/>
          <w:sz w:val="24"/>
          <w:szCs w:val="24"/>
          <w:shd w:val="clear" w:color="auto" w:fill="FFFFFF"/>
          <w:lang w:eastAsia="zh-CN"/>
        </w:rPr>
        <w:t>，一是细化其他关联交易类型。明确其他关联交易，包括自用动产和不动产买卖或租赁；信贷资产买卖；抵债资产的接收和处置；提供信用增值、信用评估、资产评估、法律、信息、技术和基础设施等服务；委托或受托销售以及其他交易。二是明确关联交易原则。明确开展上述交易应遵守法律、行政法规和银监会有关规定，按照商业原则，以不优于对非关联方同类交易的条件进行，防止风险传染和利益输送。</w:t>
      </w:r>
    </w:p>
    <w:p>
      <w:pPr>
        <w:spacing w:line="360" w:lineRule="auto"/>
        <w:ind w:firstLine="480" w:firstLineChars="200"/>
        <w:jc w:val="left"/>
        <w:rPr>
          <w:rFonts w:hint="eastAsia" w:ascii="华文楷体" w:hAnsi="华文楷体" w:eastAsia="华文楷体" w:cs="华文楷体"/>
          <w:b/>
          <w:bCs w:val="0"/>
          <w:sz w:val="24"/>
          <w:szCs w:val="24"/>
          <w:shd w:val="clear" w:color="auto" w:fill="FFFFFF"/>
          <w:lang w:eastAsia="zh-CN"/>
        </w:rPr>
      </w:pPr>
      <w:r>
        <w:rPr>
          <w:rFonts w:hint="eastAsia" w:ascii="华文楷体" w:hAnsi="华文楷体" w:eastAsia="华文楷体" w:cs="华文楷体"/>
          <w:b/>
          <w:bCs w:val="0"/>
          <w:sz w:val="24"/>
          <w:szCs w:val="24"/>
          <w:shd w:val="clear" w:color="auto" w:fill="FFFFFF"/>
          <w:lang w:eastAsia="zh-CN"/>
        </w:rPr>
        <w:t>七、关于金融产品入股商业银行的规定有哪些考虑？</w:t>
      </w: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val="0"/>
          <w:bCs/>
          <w:sz w:val="24"/>
          <w:szCs w:val="24"/>
          <w:shd w:val="clear" w:color="auto" w:fill="FFFFFF"/>
          <w:lang w:eastAsia="zh-CN"/>
        </w:rPr>
        <w:t>答：《办法》第二十五条规定“金融产品可以持有上市商业银行股份，但单一投资人、发行人或管理人及其实际控制人、关联方、一致行动人控制的金融产品持有同一商业银行股份合计不得超过该商业银行股份总额的百分之五。商业银行主要股东不得以发行、管理或通过其他手段控制的金融产品持有同一商业银行股份”。主要考虑有三点：一是金融产品投资上市商业银行，有利于活跃市场股份交易和融资，不能简单禁止。二是金融产品不符合现行许可规章关于持股5%以上股东资质条件的相关规定，而且金融产品通常有存续期限，不具备持续向商业银行补充资本的能力。三是要防止主要股东利用金融产品持有商业银行股份，增强对商业银行的控制力，规避自有资金入股的监管要求。综合考虑上述因素，《办法》规定了金融产品入股商业银行规则。</w:t>
      </w:r>
    </w:p>
    <w:p>
      <w:pPr>
        <w:spacing w:line="360" w:lineRule="auto"/>
        <w:ind w:firstLine="480" w:firstLineChars="200"/>
        <w:jc w:val="left"/>
        <w:rPr>
          <w:rFonts w:hint="eastAsia" w:ascii="华文楷体" w:hAnsi="华文楷体" w:eastAsia="华文楷体" w:cs="华文楷体"/>
          <w:b/>
          <w:bCs w:val="0"/>
          <w:sz w:val="24"/>
          <w:szCs w:val="24"/>
          <w:shd w:val="clear" w:color="auto" w:fill="FFFFFF"/>
          <w:lang w:eastAsia="zh-CN"/>
        </w:rPr>
      </w:pPr>
      <w:r>
        <w:rPr>
          <w:rFonts w:hint="eastAsia" w:ascii="华文楷体" w:hAnsi="华文楷体" w:eastAsia="华文楷体" w:cs="华文楷体"/>
          <w:b/>
          <w:bCs w:val="0"/>
          <w:sz w:val="24"/>
          <w:szCs w:val="24"/>
          <w:shd w:val="clear" w:color="auto" w:fill="FFFFFF"/>
          <w:lang w:eastAsia="zh-CN"/>
        </w:rPr>
        <w:t>八、对违法违规股东有哪些监管手段和措施？</w:t>
      </w: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val="0"/>
          <w:bCs/>
          <w:sz w:val="24"/>
          <w:szCs w:val="24"/>
          <w:shd w:val="clear" w:color="auto" w:fill="FFFFFF"/>
          <w:lang w:eastAsia="zh-CN"/>
        </w:rPr>
        <w:t>答：《办法》设立专章规定监管部门在股权管理方面的监管重点。一是明确穿透监管的要求以及监管手段，规定监管部门对主要股东及其控股股东、实际控制人、关联方、一致行动人和最终受益人的范围具有最终认定权。二是要求银行章程和股东承诺事项体现监管要求。三是评估主要股东及相关主体对商业银行安全稳健运行的影响。四是有权限制或禁止关联交易。五是有权对入股数量、持股比例等进行限制。六是建立股东定期评估机制。七是强化监管协作。八是明确对违规商业银行的监管措施。九是明确限制股东权利的具体内涵。十是将商业银行股权管理情况与监管评级挂钩。十一是建立股东行为不良记录数据库和联合惩戒机制。</w:t>
      </w:r>
    </w:p>
    <w:p>
      <w:pPr>
        <w:spacing w:line="360" w:lineRule="auto"/>
        <w:ind w:firstLine="480" w:firstLineChars="200"/>
        <w:jc w:val="left"/>
        <w:rPr>
          <w:rFonts w:hint="eastAsia" w:ascii="华文楷体" w:hAnsi="华文楷体" w:eastAsia="华文楷体" w:cs="华文楷体"/>
          <w:b/>
          <w:bCs w:val="0"/>
          <w:sz w:val="24"/>
          <w:szCs w:val="24"/>
          <w:shd w:val="clear" w:color="auto" w:fill="FFFFFF"/>
          <w:lang w:eastAsia="zh-CN"/>
        </w:rPr>
      </w:pPr>
      <w:r>
        <w:rPr>
          <w:rFonts w:hint="eastAsia" w:ascii="华文楷体" w:hAnsi="华文楷体" w:eastAsia="华文楷体" w:cs="华文楷体"/>
          <w:b/>
          <w:bCs w:val="0"/>
          <w:sz w:val="24"/>
          <w:szCs w:val="24"/>
          <w:shd w:val="clear" w:color="auto" w:fill="FFFFFF"/>
          <w:lang w:eastAsia="zh-CN"/>
        </w:rPr>
        <w:t>九、根据社会公众意见对《办法》做了哪些修改？</w:t>
      </w: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val="0"/>
          <w:bCs/>
          <w:sz w:val="24"/>
          <w:szCs w:val="24"/>
          <w:shd w:val="clear" w:color="auto" w:fill="FFFFFF"/>
          <w:lang w:eastAsia="zh-CN"/>
        </w:rPr>
        <w:t>答：《办法》于2017年11月16日至12月15日向社会公开征求了意见。意见主要集中在主要股东管理、董事长和董事会秘书职责、限制股东权利等相关方面，《办法》均已吸收采纳。对上市银行股权管理中所涉及的操作和执行层面的建议，银监会将进一步加强监管协作，强化事中事后监管。</w:t>
      </w:r>
    </w:p>
    <w:p>
      <w:pPr>
        <w:spacing w:line="360" w:lineRule="auto"/>
        <w:ind w:firstLine="480" w:firstLineChars="200"/>
        <w:jc w:val="left"/>
        <w:rPr>
          <w:rFonts w:hint="eastAsia" w:ascii="华文楷体" w:hAnsi="华文楷体" w:eastAsia="华文楷体" w:cs="华文楷体"/>
          <w:b/>
          <w:bCs w:val="0"/>
          <w:sz w:val="24"/>
          <w:szCs w:val="24"/>
          <w:shd w:val="clear" w:color="auto" w:fill="FFFFFF"/>
          <w:lang w:eastAsia="zh-CN"/>
        </w:rPr>
      </w:pPr>
      <w:r>
        <w:rPr>
          <w:rFonts w:hint="eastAsia" w:ascii="华文楷体" w:hAnsi="华文楷体" w:eastAsia="华文楷体" w:cs="华文楷体"/>
          <w:b/>
          <w:bCs w:val="0"/>
          <w:sz w:val="24"/>
          <w:szCs w:val="24"/>
          <w:shd w:val="clear" w:color="auto" w:fill="FFFFFF"/>
          <w:lang w:eastAsia="zh-CN"/>
        </w:rPr>
        <w:t>十、《办法》施行后对现有存量股东如何规范？</w:t>
      </w:r>
    </w:p>
    <w:p>
      <w:pPr>
        <w:spacing w:line="360" w:lineRule="auto"/>
        <w:ind w:firstLine="480" w:firstLineChars="200"/>
        <w:jc w:val="left"/>
        <w:rPr>
          <w:rFonts w:hint="eastAsia" w:ascii="华文楷体" w:hAnsi="华文楷体" w:eastAsia="华文楷体" w:cs="华文楷体"/>
          <w:b w:val="0"/>
          <w:bCs/>
          <w:sz w:val="24"/>
          <w:szCs w:val="24"/>
          <w:shd w:val="clear" w:color="auto" w:fill="FFFFFF"/>
          <w:lang w:eastAsia="zh-CN"/>
        </w:rPr>
      </w:pPr>
      <w:r>
        <w:rPr>
          <w:rFonts w:hint="eastAsia" w:ascii="华文楷体" w:hAnsi="华文楷体" w:eastAsia="华文楷体" w:cs="华文楷体"/>
          <w:b w:val="0"/>
          <w:bCs/>
          <w:sz w:val="24"/>
          <w:szCs w:val="24"/>
          <w:shd w:val="clear" w:color="auto" w:fill="FFFFFF"/>
          <w:lang w:eastAsia="zh-CN"/>
        </w:rPr>
        <w:t>答：为配合《办法》实施，银监会将按照“依法合规、分类处置、稳妥推进、保持稳定”的原则，下发对现有存量股东进行规范的通知，区别不同情形，给予不同的过渡期，落实《办法》相关要求。</w:t>
      </w: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p>
    <w:p>
      <w:pPr>
        <w:spacing w:line="360" w:lineRule="auto"/>
        <w:jc w:val="center"/>
        <w:rPr>
          <w:rFonts w:ascii="华文宋体" w:hAnsi="华文宋体" w:eastAsia="华文宋体" w:cs="华文宋体"/>
          <w:b/>
          <w:sz w:val="28"/>
          <w:szCs w:val="28"/>
          <w:shd w:val="clear" w:color="auto" w:fill="FFFFFF"/>
        </w:rPr>
      </w:pPr>
      <w:bookmarkStart w:id="13" w:name="证监会对5宗案件作出行政处罚"/>
      <w:r>
        <w:rPr>
          <w:rFonts w:hint="eastAsia" w:ascii="华文宋体" w:hAnsi="华文宋体" w:eastAsia="华文宋体" w:cs="华文宋体"/>
          <w:b/>
          <w:sz w:val="28"/>
          <w:szCs w:val="28"/>
          <w:shd w:val="clear" w:color="auto" w:fill="FFFFFF"/>
        </w:rPr>
        <w:t>证监会对5宗案件作出行政处罚</w:t>
      </w:r>
    </w:p>
    <w:bookmarkEnd w:id="13"/>
    <w:p>
      <w:pPr>
        <w:spacing w:line="360" w:lineRule="auto"/>
        <w:jc w:val="center"/>
        <w:rPr>
          <w:rFonts w:hint="eastAsia" w:ascii="宋体" w:hAnsi="宋体" w:eastAsia="宋体" w:cs="宋体"/>
          <w:color w:val="000000"/>
          <w:sz w:val="18"/>
          <w:szCs w:val="18"/>
          <w:shd w:val="clear" w:color="auto" w:fill="FFFFFF"/>
          <w:lang w:eastAsia="zh-CN"/>
        </w:rPr>
      </w:pPr>
      <w:r>
        <w:rPr>
          <w:rFonts w:hint="eastAsia" w:ascii="宋体" w:hAnsi="宋体" w:eastAsia="宋体" w:cs="宋体"/>
          <w:color w:val="000000"/>
          <w:sz w:val="18"/>
          <w:szCs w:val="18"/>
          <w:shd w:val="clear" w:color="auto" w:fill="FFFFFF"/>
          <w:lang w:eastAsia="zh-CN"/>
        </w:rPr>
        <w:t>2018-01-05 来源：证监会</w:t>
      </w:r>
    </w:p>
    <w:p>
      <w:pPr>
        <w:spacing w:line="360" w:lineRule="auto"/>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近日，证监会依法对5宗案件作出行政处罚，其中包括：1宗信息披露违法违规案，2宗操纵市场案，1宗内幕交易案，1宗中介机构违法违规案。</w:t>
      </w: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1宗信息披露违法违规案中，哈尔滨电气集团佳木斯电机股份有限公司（简称佳电股份）通过少结转主营业务成本、少计销售费用等方式，在2013年和2014年分别虚增利润1.58亿元、0.40亿元；2015年，佳电股份将前期调节的利润从2015年1月份开始逐月分期消化，直至全部转回，2015年累计调减利润总额1.98亿元。佳电股份2013年度至2015年度财务报告存在虚假记载。佳电股份的上述行为违反了《证券法》第63条规定。依据《证券法》第193条、第233条，《证券市场禁入规定》（证监会令第33号）第3条、第5条规定，我会决定对佳电股份责令改正，给予警告，并处以60万元罚款；对直接负责的主管人员赵明、梁喜华给予警告，并分别处以30万元、20万元罚款；对20名其他直接责任人员给予警告，并分别处以3万元至10万元不等的罚款。同时对赵明采取5年证券市场禁入措施；对梁喜华采取3年证券市场禁入措施。</w:t>
      </w: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2宗操纵市场案中，一是2015年2月9日至8月27日期间，吴峻乐控制使用“厦门信托-凤凰花香二号”等10个信托计划证券账户下挂的18个交易子账户和“罗某”等4个个人账户，通过集中资金优势和持股优势连续买卖、在实际控制的账户之间相互交易、虚假申报和尾市交易的方式，影响“新华锦”价格，没有违法所得。吴峻乐的上述行为违反了《证券法》第77条规定，依据《证券法》第203条规定，我会决定对吴峻乐处以100万元罚款。二是2015年8月6日至11月25日期间，上海易所试网络信息技术股份有限公司（简称易所试）与中泰证券股份有限公司（简称中泰证券）合谋，通过中泰证券做市交易在二级市场买入拉抬“易所试”股价，之后将买入的股票卖回给易所试方面操控或安排的4个账户，易所试在此期间通过公告利好消息、向投资者推荐等方式，拉抬“易所试”股价。中泰证券、易所试没有违法所得。中泰证券、易所试的上述行为违反了《证券法》第77条规定，依据《证券法》第203条规定，我会决定对易所试、中泰证券分别处以100万元罚款；对6名相关责任人员给予警告，并分别处以3万元至20万元不等的罚款。</w:t>
      </w: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1宗内幕交易案中，宋某平系宁波富邦精业集团股份有限公司（简称宁波富邦）实际控制人，是宁波富邦发行股份及支付现金购买资产这一内幕信息的知情人。应燕红系宋某平外甥女，在宁波富邦下属控股公司任副总经理。在内幕信息敏感期内，应燕红与宋某平存在通讯联络，应燕红控制使用其本人证券账户买入“宁波富邦”173,600股，获利约35.8万元。应燕红的上述行为违反了《证券法》第73条、76条规定，依据《证券法》第202条规定，我会决定没收应燕红违法所得约35.8万元，并处以约107.5万元罚款。</w:t>
      </w: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1宗中介机构违法违规案中，信永中和会计师事务所（特殊普通合伙）（简称信永中和）作为怀集登云汽配股份有限公司（简称登云股份）首次公开发行股票并在中小板上市（IPO）、2013年及2014年年度报告审计服务机构，在为登云股份IPO及2014年年报提供审计服务过程中违反依法制定的业务规则，构成《证券法》第226条第3款所述“证券服务机构违反本法规定或者依法制定的业务规则”的行为；在为登云股份2013年年报提供审计服务过程中未勤勉尽责，对登云股份2013年年报出具的审计报告存在虚假记载，构成《证券法》第223条所述“证券服务机构未勤勉尽责，所制作、出具的文件有虚假记载”的行为。依据《证券法》第226条、第223条规定，我会决定责令信永中和改正，没收业务收入32万元，没收违法所得188万元，并处以220万元罚款；对直接负责的主管人员郭晋龙、夏斌给予警告，并分别处以5万元罚款。</w:t>
      </w: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上述行为违反了证券期货法律法规，破坏了市场秩序，必须坚决予以打击。我会将持续对各类违法违规行为保持高压态势，坚决从严执法，坚定维护市场秩序，切实维护中小投资者合法权益。</w:t>
      </w: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ind w:firstLine="480" w:firstLineChars="200"/>
        <w:rPr>
          <w:rFonts w:ascii="华文楷体" w:hAnsi="华文楷体" w:eastAsia="华文楷体" w:cs="华文楷体"/>
          <w:bCs/>
          <w:shd w:val="clear" w:color="auto" w:fill="FFFFFF"/>
        </w:rPr>
      </w:pPr>
    </w:p>
    <w:p>
      <w:pPr>
        <w:spacing w:line="360" w:lineRule="auto"/>
        <w:jc w:val="center"/>
        <w:rPr>
          <w:rFonts w:ascii="华文楷体" w:hAnsi="华文楷体" w:eastAsia="华文楷体" w:cs="华文楷体"/>
          <w:b/>
          <w:sz w:val="28"/>
          <w:szCs w:val="28"/>
          <w:shd w:val="clear" w:color="auto" w:fill="FFFFFF"/>
        </w:rPr>
      </w:pPr>
      <w:bookmarkStart w:id="14" w:name="证监会党委举办系统会管干部学习贯彻党的十九大精神第二期专题轮训班"/>
      <w:r>
        <w:rPr>
          <w:rFonts w:hint="eastAsia" w:ascii="华文楷体" w:hAnsi="华文楷体" w:eastAsia="华文楷体" w:cs="华文楷体"/>
          <w:b/>
          <w:sz w:val="28"/>
          <w:szCs w:val="28"/>
          <w:shd w:val="clear" w:color="auto" w:fill="FFFFFF"/>
        </w:rPr>
        <w:t>证监会党委举办系统会管干部学习贯彻党的十九大精神第二期专题轮训班</w:t>
      </w:r>
    </w:p>
    <w:bookmarkEnd w:id="14"/>
    <w:p>
      <w:pPr>
        <w:spacing w:line="360" w:lineRule="auto"/>
        <w:jc w:val="center"/>
        <w:rPr>
          <w:rFonts w:hint="eastAsia" w:ascii="宋体" w:hAnsi="宋体" w:eastAsia="宋体" w:cs="宋体"/>
          <w:color w:val="000000"/>
          <w:sz w:val="18"/>
          <w:szCs w:val="18"/>
          <w:shd w:val="clear" w:color="auto" w:fill="FFFFFF"/>
          <w:lang w:eastAsia="zh-CN"/>
        </w:rPr>
      </w:pPr>
      <w:r>
        <w:rPr>
          <w:rFonts w:hint="eastAsia" w:ascii="宋体" w:hAnsi="宋体" w:eastAsia="宋体" w:cs="宋体"/>
          <w:color w:val="000000"/>
          <w:sz w:val="18"/>
          <w:szCs w:val="18"/>
          <w:shd w:val="clear" w:color="auto" w:fill="FFFFFF"/>
          <w:lang w:eastAsia="zh-CN"/>
        </w:rPr>
        <w:t>2018-01-05 来源：证监会</w:t>
      </w:r>
    </w:p>
    <w:p>
      <w:pPr>
        <w:spacing w:line="360" w:lineRule="auto"/>
        <w:ind w:firstLine="480" w:firstLineChars="200"/>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近期，证监会系统会管干部学习贯彻党的十九大精神专题轮训班（第2期）在中央党校举办，共80名学员参加培训。中国证监会党委委员、副主席姜洋同志出席开班式，并结合学习体会，围绕党的十九大精神中坚持以人民为中心的发展思想这一主题，与学员交流。</w:t>
      </w: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姜洋指出，习近平新时代中国特色社会主义思想是党的十九大的灵魂。坚持以人民为中心的发展思想是习近平新时代中国特色社会主义思想的灵魂，也就是党的十九大的灵魂的灵魂。这一思想和原则既贯穿于我党我国革命、社会主义建设和改革开放的历史始终，体现在我党带领我国人民从站起来到富起来；也贯穿于党的十九大报告始终，体现在大会主题、新的历史方位和主要矛盾变化、指导思想和基本方略、战略安排、任务部署等方方面面。</w:t>
      </w: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姜洋强调，作为中国特色社会主义市场经济体系的重要组成部分，我国资本市场的改革开放发展必须始终坚持以人民为中心的发展思想。既要从支持实体经济发展和保护广大投资者的角度，深刻认识我国社会主要矛盾在资本市场的体现；又要从文化传统、社会制度、经济发展阶段和意识形态环境等方面，深刻认识中国特色社会主义市场经济中资本市场的功能定位和政治属性。</w:t>
      </w: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姜洋要求，要坚定制度自信，坚持以人民为中心的发展思想建设资本市场，践行资本市场监管的人民性要求。我国资本市场经过20多年的发展探索，已经成为全球领先的市场，并建立了证券市场“穿透式监管”和期货市场保证金安全存管等一系列获得国际社会认同和肯定的监管制度，向全世界贡献了中国智慧和中国方案。在资本市场对外开放过程中，要坚定制度自信，坚持符合我国国情、保护投资者利益的监管制度，建设现代化的、既富有全球竞争力、又具有中国特色的多层次资本市场，为决胜全面建成小康社会、建设社会主义现代化强国做出新的更大的贡献。</w:t>
      </w: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中央党校高度重视证监会系统本期培训班，精心组织安排，围绕党的十九大精神科学设置“习近平新时代中国特色社会主义思想和基本方略”、“正确认识主要矛盾新特点，开辟中国道路新境界”、“贯彻新发展理念，建设现代化经济体系”、“十九大党章（修正案）解读”等学习专题，选派权威师资授课，确保了培训班顺利举办，取得了良好效果。</w:t>
      </w: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p>
    <w:p>
      <w:pPr>
        <w:spacing w:line="360" w:lineRule="auto"/>
        <w:rPr>
          <w:rFonts w:ascii="华文楷体" w:hAnsi="华文楷体" w:eastAsia="华文楷体" w:cs="华文楷体"/>
          <w:bCs/>
          <w:shd w:val="clear" w:color="auto" w:fill="FFFFFF"/>
        </w:rPr>
      </w:pPr>
    </w:p>
    <w:p>
      <w:pPr>
        <w:spacing w:line="360" w:lineRule="auto"/>
        <w:jc w:val="center"/>
        <w:rPr>
          <w:rFonts w:ascii="华文楷体" w:hAnsi="华文楷体" w:eastAsia="华文楷体" w:cs="华文楷体"/>
          <w:b/>
          <w:sz w:val="28"/>
          <w:szCs w:val="28"/>
          <w:shd w:val="clear" w:color="auto" w:fill="FFFFFF"/>
        </w:rPr>
      </w:pPr>
      <w:bookmarkStart w:id="15" w:name="刘士余调研指导稽查执法工作"/>
      <w:r>
        <w:rPr>
          <w:rFonts w:hint="eastAsia" w:ascii="华文楷体" w:hAnsi="华文楷体" w:eastAsia="华文楷体" w:cs="华文楷体"/>
          <w:b/>
          <w:sz w:val="28"/>
          <w:szCs w:val="28"/>
          <w:shd w:val="clear" w:color="auto" w:fill="FFFFFF"/>
        </w:rPr>
        <w:t>刘士余调研指导稽查执法工作</w:t>
      </w:r>
    </w:p>
    <w:bookmarkEnd w:id="15"/>
    <w:p>
      <w:pPr>
        <w:spacing w:line="360" w:lineRule="auto"/>
        <w:jc w:val="center"/>
        <w:rPr>
          <w:rFonts w:hint="eastAsia" w:ascii="宋体" w:hAnsi="宋体" w:eastAsia="宋体" w:cs="宋体"/>
          <w:color w:val="000000"/>
          <w:sz w:val="18"/>
          <w:szCs w:val="18"/>
          <w:shd w:val="clear" w:color="auto" w:fill="FFFFFF"/>
          <w:lang w:eastAsia="zh-CN"/>
        </w:rPr>
      </w:pPr>
      <w:r>
        <w:rPr>
          <w:rFonts w:hint="eastAsia" w:ascii="宋体" w:hAnsi="宋体" w:eastAsia="宋体" w:cs="宋体"/>
          <w:color w:val="000000"/>
          <w:sz w:val="18"/>
          <w:szCs w:val="18"/>
          <w:shd w:val="clear" w:color="auto" w:fill="FFFFFF"/>
          <w:lang w:eastAsia="zh-CN"/>
        </w:rPr>
        <w:t>2018-01-05 来源：证监会</w:t>
      </w:r>
    </w:p>
    <w:p>
      <w:pPr>
        <w:pStyle w:val="11"/>
        <w:widowControl/>
        <w:spacing w:beforeAutospacing="0" w:afterAutospacing="0" w:line="480" w:lineRule="auto"/>
        <w:ind w:left="106" w:right="106"/>
        <w:jc w:val="center"/>
      </w:pPr>
      <w:r>
        <w:rPr>
          <w:rFonts w:hint="eastAsia" w:ascii="宋体" w:hAnsi="宋体" w:eastAsia="宋体" w:cs="宋体"/>
          <w:color w:val="333333"/>
          <w:sz w:val="21"/>
          <w:szCs w:val="21"/>
          <w:shd w:val="clear" w:color="auto" w:fill="FFFFFF"/>
        </w:rPr>
        <w:drawing>
          <wp:inline distT="0" distB="0" distL="114300" distR="114300">
            <wp:extent cx="3283585" cy="1958975"/>
            <wp:effectExtent l="0" t="0" r="12065"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3283585" cy="1958975"/>
                    </a:xfrm>
                    <a:prstGeom prst="rect">
                      <a:avLst/>
                    </a:prstGeom>
                    <a:noFill/>
                    <a:ln w="9525">
                      <a:noFill/>
                    </a:ln>
                  </pic:spPr>
                </pic:pic>
              </a:graphicData>
            </a:graphic>
          </wp:inline>
        </w:drawing>
      </w: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1月2日上午，证监会党委书记、主席刘士余到证监会稽查局、稽查总队进行工作调研，通过远程视频慰问了工作在执法一线的稽查干部，观看了执法科技化建设规划和稽查技术手段实际运用的现场演示。在听取稽查执法工作情况汇报后，刘士余与稽查局、稽查总队干部进行了座谈交流，并就进一步担当新时代资本市场稽查执法职责使命，做好2018年稽查执法工作发表讲话。</w:t>
      </w: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刘士余指出，2017年稽查系统认真学习领会党的十九大精神，以习近平新时代中国特色社会主义思想为指导，牢固树立“四个意识”，不断增强“四个自信”，坚决贯彻落实党中央、国务院关于资本市场监管执法的决策部署，充分发扬“特别能担当、特别能吃苦、特别能战斗、特别能奉献”的稽查精神，团结一致，攻坚克难，依法全面从严打击证券期货市场违法违规活动，严惩了一批兴风作浪、祸害市场、侵害投资者合法权益的“硬茬子”，在净化市场环境、维护法律尊严、保护投资者合法权益等方面又迈出了实实在在的一大步。稽查系统的同志们用实际行动和工作成绩诠释了对党、对国家、对人民的忠诚。</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刘士余强调，实现中华民族伟大复兴的中国梦，建设富强民主文明和谐美丽的现代化国家，必须要有一个强大的资本市场。大国崛起、大国强盛必须通过强大的资本市场取得全球市场资源配置中的竞争优势。资本市场强国的一个重要标志，就是市场的法治化水平。通过法治的手段实现市场透明、规范和有序，需要稽查执法净化市场环境，塑造市场生态。强有力的稽查执法是资本市场高质量发展的根本要求，是资本市场改革开放的基本保证，是建设资本市场强国的必由之路。广大稽查执法干部要进一步提高政治站位，强化政治担当，坚决履行好新时代资本市场稽查执法的重要职责，切实担负起建设资本市场强国的神圣使命。</w:t>
      </w: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刘士余指出，2018年是贯彻党的十九大精神的开局之年，是改革开放40周年，是决胜全面建成小康社会、实施“十三五”规划承上启下的关键一年。过去的一年，习近平总书记在全国金融工作会议、党的十九大和中央经济工作会议上，对做好资本市场改革发展稳定的各项工作作出了明确部署，提出了殷切希望，稽查系统的广大干部要以政治忠诚为引领，深入学习贯彻党的十九大精神，时刻用习近平新时代中国特色社会主义思想武装头脑、指导工作、推进事业。要以查办大案要案为重点，全面落实整治金融乱象的工作要求，精准打击肆意妄为、逃避监管、影响恶劣的个人和机构。要运用大数据、云计算和人工智能为代表的现代信息科技，提升稽查执法的能力与效率。要着力强化稽查执法规范化水平，强化规则制订，完善执法程序，严格执法责任，切实做到严格文明公正执法。要进一步推进法制建设，坚持问题导向，推进法律与制度完善，加大违法成本，加重法律责任，有效打击和惩治市场违法违规。</w:t>
      </w: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证监会党委委员、主席助理黄炜参加了调研活动。证监会相关部门负责同志参加了座谈会议。</w:t>
      </w:r>
    </w:p>
    <w:p>
      <w:pPr>
        <w:spacing w:line="360" w:lineRule="auto"/>
        <w:jc w:val="center"/>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center"/>
        <w:rPr>
          <w:rStyle w:val="13"/>
          <w:rFonts w:ascii="宋体" w:hAnsi="宋体" w:eastAsia="宋体" w:cs="宋体"/>
        </w:rPr>
      </w:pPr>
      <w:bookmarkStart w:id="16" w:name="规范银行卡境外大额提取现金完善跨境反洗钱监管"/>
      <w:r>
        <w:rPr>
          <w:rStyle w:val="13"/>
          <w:rFonts w:ascii="宋体" w:hAnsi="宋体" w:eastAsia="宋体" w:cs="宋体"/>
        </w:rPr>
        <w:t>规范银行卡境外大额提取现金 完善跨境反洗钱监管</w:t>
      </w:r>
    </w:p>
    <w:p>
      <w:pPr>
        <w:spacing w:line="360" w:lineRule="auto"/>
        <w:jc w:val="center"/>
        <w:rPr>
          <w:rFonts w:hint="eastAsia" w:ascii="宋体" w:hAnsi="宋体" w:eastAsia="宋体" w:cs="宋体"/>
          <w:color w:val="000000"/>
          <w:sz w:val="18"/>
          <w:szCs w:val="18"/>
          <w:shd w:val="clear" w:color="auto" w:fill="FFFFFF"/>
          <w:lang w:val="en-US" w:eastAsia="zh-CN"/>
        </w:rPr>
      </w:pPr>
      <w:r>
        <w:rPr>
          <w:rFonts w:hint="eastAsia" w:ascii="宋体" w:hAnsi="宋体" w:eastAsia="宋体" w:cs="宋体"/>
          <w:color w:val="000000"/>
          <w:sz w:val="18"/>
          <w:szCs w:val="18"/>
          <w:shd w:val="clear" w:color="auto" w:fill="FFFFFF"/>
          <w:lang w:eastAsia="zh-CN"/>
        </w:rPr>
        <w:t>日期：</w:t>
      </w:r>
      <w:r>
        <w:rPr>
          <w:rFonts w:hint="eastAsia" w:ascii="宋体" w:hAnsi="宋体" w:eastAsia="宋体" w:cs="宋体"/>
          <w:color w:val="000000"/>
          <w:sz w:val="18"/>
          <w:szCs w:val="18"/>
          <w:shd w:val="clear" w:color="auto" w:fill="FFFFFF"/>
          <w:lang w:val="en-US" w:eastAsia="zh-CN"/>
        </w:rPr>
        <w:t>2017年12月30日  来源：国家外汇管理局</w:t>
      </w:r>
      <w:bookmarkEnd w:id="16"/>
    </w:p>
    <w:p>
      <w:pPr>
        <w:spacing w:line="360" w:lineRule="auto"/>
        <w:jc w:val="center"/>
        <w:rPr>
          <w:rFonts w:hint="eastAsia" w:ascii="宋体" w:hAnsi="宋体" w:eastAsia="宋体" w:cs="宋体"/>
          <w:color w:val="000000"/>
          <w:sz w:val="18"/>
          <w:szCs w:val="18"/>
          <w:shd w:val="clear" w:color="auto" w:fill="FFFFFF"/>
          <w:lang w:val="en-US" w:eastAsia="zh-CN"/>
        </w:rPr>
      </w:pP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日前，国家外汇管理局发布《国家外汇管理局关于规范银行卡境外大额提取现金交易的通知》（汇发〔2017〕29号，以下简称《通知》），规范银行卡境外大额提取现金交易，完善跨境反洗钱监管。</w:t>
      </w:r>
    </w:p>
    <w:p>
      <w:pPr>
        <w:spacing w:line="360" w:lineRule="auto"/>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通知》主要内容包括：一是个人持境内银行卡在境外提取现金，本人名下银行卡（含附属卡）合计每个自然年度不得超过等值10万元人民币；二是将人民币卡、外币卡境外提取现金每卡每日额度统一为等值1万元人民币；三是个人持境内银行卡境外提取现金超过年度额度的，本年及次年将被暂停持境内银行卡在境外提取现金；四是个人不得通过借用他人银行卡或出借本人银行卡等方式规避或协助规避境外提取现金管理。</w:t>
      </w:r>
    </w:p>
    <w:p>
      <w:pPr>
        <w:spacing w:line="360" w:lineRule="auto"/>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外汇局坚持支持个人持卡跨境合规使用。规范银行卡境外大额提取现金交易，是反洗钱、反恐怖融资、反逃税的必要举措，可进一步防范银行卡提取现金领域的违法犯罪活动。《通知》遵循经常项目可兑换要求，不改变个人便利化年度5万美元购汇额度，不影响个人正常提取现金和消费，不影响个人用汇便利性。</w:t>
      </w:r>
    </w:p>
    <w:p>
      <w:pPr>
        <w:spacing w:line="360" w:lineRule="auto"/>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《通知》自2018年1月1日起实施。（完）</w:t>
      </w: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jc w:val="center"/>
        <w:rPr>
          <w:rStyle w:val="13"/>
          <w:rFonts w:ascii="宋体" w:hAnsi="宋体" w:eastAsia="宋体" w:cs="宋体"/>
          <w:sz w:val="28"/>
          <w:szCs w:val="28"/>
        </w:rPr>
      </w:pPr>
      <w:bookmarkStart w:id="17" w:name="国家外汇管理局有关负责人就规范银行卡境外大额提取现金交易有关问题答记者问"/>
      <w:r>
        <w:rPr>
          <w:rStyle w:val="13"/>
          <w:rFonts w:ascii="宋体" w:hAnsi="宋体" w:eastAsia="宋体" w:cs="宋体"/>
          <w:sz w:val="28"/>
          <w:szCs w:val="28"/>
        </w:rPr>
        <w:t>国家外汇管理局有关负责人就规范银行卡境外大额提取现金交易有关问题答记者问</w:t>
      </w:r>
    </w:p>
    <w:bookmarkEnd w:id="17"/>
    <w:p>
      <w:pPr>
        <w:spacing w:line="360" w:lineRule="auto"/>
        <w:jc w:val="center"/>
        <w:rPr>
          <w:rFonts w:hint="eastAsia" w:ascii="宋体" w:hAnsi="宋体" w:eastAsia="宋体" w:cs="宋体"/>
          <w:color w:val="000000"/>
          <w:sz w:val="18"/>
          <w:szCs w:val="18"/>
          <w:shd w:val="clear" w:color="auto" w:fill="FFFFFF"/>
          <w:lang w:val="en-US" w:eastAsia="zh-CN"/>
        </w:rPr>
      </w:pPr>
      <w:r>
        <w:rPr>
          <w:rFonts w:hint="eastAsia" w:ascii="宋体" w:hAnsi="宋体" w:eastAsia="宋体" w:cs="宋体"/>
          <w:color w:val="000000"/>
          <w:sz w:val="18"/>
          <w:szCs w:val="18"/>
          <w:shd w:val="clear" w:color="auto" w:fill="FFFFFF"/>
          <w:lang w:eastAsia="zh-CN"/>
        </w:rPr>
        <w:t>日期：</w:t>
      </w:r>
      <w:r>
        <w:rPr>
          <w:rFonts w:hint="eastAsia" w:ascii="宋体" w:hAnsi="宋体" w:eastAsia="宋体" w:cs="宋体"/>
          <w:color w:val="000000"/>
          <w:sz w:val="18"/>
          <w:szCs w:val="18"/>
          <w:shd w:val="clear" w:color="auto" w:fill="FFFFFF"/>
          <w:lang w:val="en-US" w:eastAsia="zh-CN"/>
        </w:rPr>
        <w:t>2017年12月30日  来源：国家外汇管理局</w:t>
      </w:r>
    </w:p>
    <w:p>
      <w:pPr>
        <w:spacing w:line="360" w:lineRule="auto"/>
        <w:jc w:val="center"/>
        <w:rPr>
          <w:rFonts w:hint="eastAsia" w:ascii="宋体" w:hAnsi="宋体" w:eastAsia="宋体" w:cs="宋体"/>
          <w:color w:val="000000"/>
          <w:sz w:val="18"/>
          <w:szCs w:val="18"/>
          <w:shd w:val="clear" w:color="auto" w:fill="FFFFFF"/>
          <w:lang w:val="en-US" w:eastAsia="zh-CN"/>
        </w:rPr>
      </w:pP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日前，国家外汇管理局（以下简称外汇局）发布《国家外汇管理局关于规范银行卡境外大额提取现金交易的通知》（汇发〔2017〕29号，以下简称《通知》）。外汇局有关负责人就相关问题回答了记者提问。</w:t>
      </w:r>
    </w:p>
    <w:p>
      <w:pPr>
        <w:spacing w:line="360" w:lineRule="auto"/>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1、《通知》出台的主要背景是什么？</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答：</w:t>
      </w:r>
      <w:r>
        <w:rPr>
          <w:rFonts w:hint="eastAsia" w:ascii="华文楷体" w:hAnsi="华文楷体" w:eastAsia="华文楷体" w:cs="华文楷体"/>
          <w:bCs/>
          <w:shd w:val="clear" w:color="auto" w:fill="FFFFFF"/>
        </w:rPr>
        <w:t>随着科技进步，当前非现金支付已日益普及和便利。国际监管经验也显示，大额现金交易往往与诈骗、赌博、洗钱、恐怖融资等违法犯罪活动有关。为此，全球普遍加强大额现金管理。监测发现，一些个人持大量银行卡在境外大额提取现金，远超正常消费支付需要，涉嫌开展违法犯罪活动。</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规范银行卡境外大额提取现金交易，是反洗钱、反恐怖融资、反逃税的必要举措，可进一步防范银行卡提取现金领域的违法犯罪活动。《通知》遵循经常项目可兑换要求，不改变个人便利化年度5万美元购汇额度，不影响个人正常提取现金和消费，不影响个人用汇便利性。</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此外，外汇局正在与境外监管机构建立大额提取现金监管信息交流机制，加强监管协作，防范跨境洗钱等风险。</w:t>
      </w:r>
    </w:p>
    <w:p>
      <w:pPr>
        <w:spacing w:line="360" w:lineRule="auto"/>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2、《通知》的主要内容是什么？</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答：</w:t>
      </w:r>
      <w:r>
        <w:rPr>
          <w:rFonts w:hint="eastAsia" w:ascii="华文楷体" w:hAnsi="华文楷体" w:eastAsia="华文楷体" w:cs="华文楷体"/>
          <w:bCs/>
          <w:shd w:val="clear" w:color="auto" w:fill="FFFFFF"/>
        </w:rPr>
        <w:t>一是个人持境内银行卡在境外提取现金，本人名下银行卡（含附属卡）合计每个自然年度不得超过等值10万元人民币。</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二是将人民币卡、外币卡境外提取现金每卡每日额度统一为等值1万元人民币。</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三是个人持境内银行卡境外提取现金超过年度额度的，本年及次年将被暂停持境内银行卡在境外提取现金。</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四是个人不得通过借用他人银行卡或出借本人银行卡等方式规避或协助规避境外提取现金管理。</w:t>
      </w:r>
    </w:p>
    <w:p>
      <w:pPr>
        <w:spacing w:line="360" w:lineRule="auto"/>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3、《通知》出台对持卡人境外消费有无影响？</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答：</w:t>
      </w:r>
      <w:r>
        <w:rPr>
          <w:rFonts w:hint="eastAsia" w:ascii="华文楷体" w:hAnsi="华文楷体" w:eastAsia="华文楷体" w:cs="华文楷体"/>
          <w:bCs/>
          <w:shd w:val="clear" w:color="auto" w:fill="FFFFFF"/>
        </w:rPr>
        <w:t>《通知》不影响个人持卡境外消费。目前，银行卡已成为个人出境使用最主要的便利化支付工具，个人出境旅游、商务、留学所涉食、宿、行、购等经常项下交易，均可以使用银行卡支付，且不占用个人便利化年度5万美元购汇额度。《通知》主要是规范银行卡境外大额提取现金，并不改变银行卡外汇管理基本框架和个人用汇政策，个人持卡境外消费不受影响。</w:t>
      </w:r>
    </w:p>
    <w:p>
      <w:pPr>
        <w:spacing w:line="360" w:lineRule="auto"/>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 xml:space="preserve">4、《通知》规定境外提取现金年度额度为10万元人民币的主要考虑是什么？ </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答：</w:t>
      </w:r>
      <w:r>
        <w:rPr>
          <w:rFonts w:hint="eastAsia" w:ascii="华文楷体" w:hAnsi="华文楷体" w:eastAsia="华文楷体" w:cs="华文楷体"/>
          <w:bCs/>
          <w:shd w:val="clear" w:color="auto" w:fill="FFFFFF"/>
        </w:rPr>
        <w:t>自2003年以来，银行卡在境外提取现金实施额度管理，目前每卡每年不得超过10万元人民币。为防范违法分子持多家银行多张卡片大额提取现金从事违法活动，《通知》将境外提取现金年度额度调整为每人每年不得超过10万元人民币。</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据统计，2016年81%的境内银行卡境外提取现金低于3万元人民币。《通知》规定境外提取现金年度额度为10万元人民币，既可满足持卡人在境外正常提取现金需求，又可抑制少数违法违规人员大额提取现金。</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若个人确有真实合规的境外大额现金使用需求，可依据《个人外汇管理办法》及其实施细则等相关外汇管理规定办理，如依法购汇后携带外币现钞出境。</w:t>
      </w:r>
    </w:p>
    <w:p>
      <w:pPr>
        <w:spacing w:line="360" w:lineRule="auto"/>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5、《通知》实施后，个人是否会出现超过年度额度提取现金？如果超过年度额度，会产生什么影响？</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答：</w:t>
      </w:r>
      <w:r>
        <w:rPr>
          <w:rFonts w:hint="eastAsia" w:ascii="华文楷体" w:hAnsi="华文楷体" w:eastAsia="华文楷体" w:cs="华文楷体"/>
          <w:bCs/>
          <w:shd w:val="clear" w:color="auto" w:fill="FFFFFF"/>
        </w:rPr>
        <w:t xml:space="preserve">年度额度由外汇局汇总各家发卡金融机构数据计算并通过发卡金融机构实施控制。考虑到实时控制会增加交易响应时间从而影响用卡体验，对此外汇局采用延时控制手段。因此，个人在境外提取现金时应合理规划，避免出现超过年度额度提取现金。《通知》也要求发卡金融机构采取有效方式提示发生境外提取现金交易的持卡人注意政策变化，加强政策宣传。 </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为防范部分持卡人恶意提取现金，超过年度额度的个人，本年及次年将被暂停持境内银行卡在境外提取现金，并将视情节严重程度，按《外汇管理条例》有关规定进行处罚。</w:t>
      </w:r>
    </w:p>
    <w:p>
      <w:pPr>
        <w:spacing w:line="360" w:lineRule="auto"/>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 xml:space="preserve">6、《通知》从何时开始执行？ </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答：</w:t>
      </w:r>
      <w:r>
        <w:rPr>
          <w:rFonts w:hint="eastAsia" w:ascii="华文楷体" w:hAnsi="华文楷体" w:eastAsia="华文楷体" w:cs="华文楷体"/>
          <w:bCs/>
          <w:shd w:val="clear" w:color="auto" w:fill="FFFFFF"/>
        </w:rPr>
        <w:t>《通知》自2018年1月1日起实施，2018年境外提取现金年度额度从2018年1月1日起开始累计计算。</w:t>
      </w:r>
    </w:p>
    <w:p>
      <w:pPr>
        <w:spacing w:line="360" w:lineRule="auto"/>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7、个人是否可以查询本人银行卡境外提取现金明细？</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答：</w:t>
      </w:r>
      <w:r>
        <w:rPr>
          <w:rFonts w:hint="eastAsia" w:ascii="华文楷体" w:hAnsi="华文楷体" w:eastAsia="华文楷体" w:cs="华文楷体"/>
          <w:bCs/>
          <w:shd w:val="clear" w:color="auto" w:fill="FFFFFF"/>
        </w:rPr>
        <w:t>个人被列入暂停持境内银行卡在境外提取现金名单的，可向发卡金融机构查询本人所持的该机构银行卡提取现金明细，也可凭本人有效身份证件向外汇局分支局查询。</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需要强调的是，外汇局对银行卡境外提取现金明细信息的查询有严格的保密规定，任何信息的使用都将在法律法规的规定范围内，并要求各发卡金融机构妥善保管暂停持境内银行卡在境外提取现金个人信息。</w:t>
      </w:r>
    </w:p>
    <w:p>
      <w:pPr>
        <w:spacing w:line="360" w:lineRule="auto"/>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8、您对个人使用银行卡在境外提取现金还有哪些建议？</w:t>
      </w:r>
    </w:p>
    <w:p>
      <w:pPr>
        <w:spacing w:line="360" w:lineRule="auto"/>
        <w:ind w:firstLine="480" w:firstLineChars="200"/>
        <w:jc w:val="left"/>
        <w:rPr>
          <w:rFonts w:ascii="华文楷体" w:hAnsi="华文楷体" w:eastAsia="华文楷体" w:cs="华文楷体"/>
          <w:bCs/>
          <w:shd w:val="clear" w:color="auto" w:fill="FFFFFF"/>
        </w:rPr>
      </w:pPr>
      <w:r>
        <w:rPr>
          <w:rFonts w:hint="eastAsia" w:ascii="华文楷体" w:hAnsi="华文楷体" w:eastAsia="华文楷体" w:cs="华文楷体"/>
          <w:b/>
          <w:shd w:val="clear" w:color="auto" w:fill="FFFFFF"/>
        </w:rPr>
        <w:t>答：</w:t>
      </w:r>
      <w:r>
        <w:rPr>
          <w:rFonts w:hint="eastAsia" w:ascii="华文楷体" w:hAnsi="华文楷体" w:eastAsia="华文楷体" w:cs="华文楷体"/>
          <w:bCs/>
          <w:shd w:val="clear" w:color="auto" w:fill="FFFFFF"/>
        </w:rPr>
        <w:t>个人在境外提取现金应注意保障自身权益。一是合理规划用汇需求，减少携带和使用大额现金，避免人身和财产安全遭受类似抢劫等不法侵害。二是注意用卡安全和信息保护，避免银行卡被他人盗用，影响正常交易。三是依法合规使用银行卡，不借用他人银行卡规避额度管理，也不向他人出借银行卡，避免被不法人员利用从事违法犯罪活动。</w:t>
      </w: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ind w:firstLine="480"/>
        <w:jc w:val="center"/>
        <w:rPr>
          <w:rFonts w:ascii="华文宋体" w:hAnsi="华文宋体" w:eastAsia="华文宋体" w:cs="华文宋体"/>
          <w:b/>
          <w:bCs/>
        </w:rPr>
      </w:pPr>
      <w:bookmarkStart w:id="18" w:name="国家外汇管理局关于规范银行卡境外大额提取现金交易的通知"/>
      <w:r>
        <w:rPr>
          <w:rFonts w:hint="eastAsia" w:ascii="华文宋体" w:hAnsi="华文宋体" w:eastAsia="华文宋体" w:cs="华文宋体"/>
          <w:b/>
          <w:bCs/>
        </w:rPr>
        <w:t>国家外汇管理局关于规范银行卡境外大额提取现金交易的通知</w:t>
      </w:r>
      <w:bookmarkEnd w:id="18"/>
    </w:p>
    <w:p>
      <w:pPr>
        <w:spacing w:line="360" w:lineRule="auto"/>
        <w:jc w:val="center"/>
        <w:rPr>
          <w:rFonts w:hint="eastAsia" w:ascii="宋体" w:hAnsi="宋体" w:eastAsia="宋体" w:cs="宋体"/>
          <w:color w:val="000000"/>
          <w:sz w:val="18"/>
          <w:szCs w:val="18"/>
          <w:shd w:val="clear" w:color="auto" w:fill="FFFFFF"/>
          <w:lang w:val="en-US" w:eastAsia="zh-CN"/>
        </w:rPr>
      </w:pPr>
      <w:r>
        <w:rPr>
          <w:rFonts w:hint="eastAsia" w:ascii="宋体" w:hAnsi="宋体" w:eastAsia="宋体" w:cs="宋体"/>
          <w:color w:val="000000"/>
          <w:sz w:val="18"/>
          <w:szCs w:val="18"/>
          <w:shd w:val="clear" w:color="auto" w:fill="FFFFFF"/>
          <w:lang w:eastAsia="zh-CN"/>
        </w:rPr>
        <w:t>日期：</w:t>
      </w:r>
      <w:r>
        <w:rPr>
          <w:rFonts w:hint="eastAsia" w:ascii="宋体" w:hAnsi="宋体" w:eastAsia="宋体" w:cs="宋体"/>
          <w:color w:val="000000"/>
          <w:sz w:val="18"/>
          <w:szCs w:val="18"/>
          <w:shd w:val="clear" w:color="auto" w:fill="FFFFFF"/>
          <w:lang w:val="en-US" w:eastAsia="zh-CN"/>
        </w:rPr>
        <w:t>2017年12月30日  来源：国家外汇管理局</w:t>
      </w:r>
    </w:p>
    <w:p>
      <w:pPr>
        <w:spacing w:line="360" w:lineRule="auto"/>
        <w:jc w:val="center"/>
        <w:rPr>
          <w:rFonts w:hint="eastAsia" w:ascii="宋体" w:hAnsi="宋体" w:eastAsia="宋体" w:cs="宋体"/>
          <w:color w:val="000000"/>
          <w:sz w:val="18"/>
          <w:szCs w:val="18"/>
          <w:shd w:val="clear" w:color="auto" w:fill="FFFFFF"/>
          <w:lang w:val="en-US" w:eastAsia="zh-CN"/>
        </w:rPr>
      </w:pPr>
    </w:p>
    <w:p>
      <w:pPr>
        <w:rPr>
          <w:rFonts w:ascii="华文楷体" w:hAnsi="华文楷体" w:eastAsia="华文楷体" w:cs="华文楷体"/>
        </w:rPr>
      </w:pPr>
      <w:r>
        <w:rPr>
          <w:rFonts w:hint="eastAsia" w:ascii="华文楷体" w:hAnsi="华文楷体" w:eastAsia="华文楷体" w:cs="华文楷体"/>
        </w:rPr>
        <w:t>国家外汇管理局各省、自治区、直辖市分局、外汇管理部，深圳、大连、青岛、厦门、宁波市分局；各全国性中资银行；中国银联股份有限公司：</w:t>
      </w:r>
    </w:p>
    <w:p>
      <w:pPr>
        <w:ind w:firstLine="480"/>
        <w:rPr>
          <w:rFonts w:ascii="华文楷体" w:hAnsi="华文楷体" w:eastAsia="华文楷体" w:cs="华文楷体"/>
        </w:rPr>
      </w:pPr>
    </w:p>
    <w:p>
      <w:pPr>
        <w:ind w:firstLine="480"/>
        <w:rPr>
          <w:rFonts w:ascii="华文楷体" w:hAnsi="华文楷体" w:eastAsia="华文楷体" w:cs="华文楷体"/>
        </w:rPr>
      </w:pPr>
      <w:r>
        <w:rPr>
          <w:rFonts w:hint="eastAsia" w:ascii="华文楷体" w:hAnsi="华文楷体" w:eastAsia="华文楷体" w:cs="华文楷体"/>
        </w:rPr>
        <w:t>为完善银行卡跨境使用的反洗钱、反恐怖融资、反逃税监管，根据《中华人民共和国外汇管理条例》（以下简称《条例》）等法规，国家外汇管理局（以下简称外汇局）就银行卡境外大额提取现金交易有关问题通知如下：</w:t>
      </w:r>
    </w:p>
    <w:p>
      <w:pPr>
        <w:ind w:firstLine="480"/>
        <w:rPr>
          <w:rFonts w:ascii="华文楷体" w:hAnsi="华文楷体" w:eastAsia="华文楷体" w:cs="华文楷体"/>
        </w:rPr>
      </w:pPr>
    </w:p>
    <w:p>
      <w:pPr>
        <w:ind w:firstLine="480"/>
        <w:rPr>
          <w:rFonts w:ascii="华文楷体" w:hAnsi="华文楷体" w:eastAsia="华文楷体" w:cs="华文楷体"/>
        </w:rPr>
      </w:pPr>
      <w:r>
        <w:rPr>
          <w:rFonts w:hint="eastAsia" w:ascii="华文楷体" w:hAnsi="华文楷体" w:eastAsia="华文楷体" w:cs="华文楷体"/>
        </w:rPr>
        <w:t>一、个人持境内银行卡在境外提取现金，本人名下银行卡（含附属卡）合计每个自然年度不得超过等值10万元人民币。超过年度额度的，本年及次年将被暂停持境内银行卡在境外提取现金。</w:t>
      </w:r>
    </w:p>
    <w:p>
      <w:pPr>
        <w:ind w:firstLine="480"/>
        <w:rPr>
          <w:rFonts w:ascii="华文楷体" w:hAnsi="华文楷体" w:eastAsia="华文楷体" w:cs="华文楷体"/>
        </w:rPr>
      </w:pPr>
      <w:r>
        <w:rPr>
          <w:rFonts w:hint="eastAsia" w:ascii="华文楷体" w:hAnsi="华文楷体" w:eastAsia="华文楷体" w:cs="华文楷体"/>
        </w:rPr>
        <w:t>个人不得通过借用他人银行卡或出借本人银行卡等方式规避或协助规避境外提取现金管理。</w:t>
      </w:r>
    </w:p>
    <w:p>
      <w:pPr>
        <w:ind w:firstLine="480"/>
        <w:rPr>
          <w:rFonts w:ascii="华文楷体" w:hAnsi="华文楷体" w:eastAsia="华文楷体" w:cs="华文楷体"/>
        </w:rPr>
      </w:pPr>
    </w:p>
    <w:p>
      <w:pPr>
        <w:ind w:firstLine="480"/>
        <w:rPr>
          <w:rFonts w:ascii="华文楷体" w:hAnsi="华文楷体" w:eastAsia="华文楷体" w:cs="华文楷体"/>
        </w:rPr>
      </w:pPr>
      <w:r>
        <w:rPr>
          <w:rFonts w:hint="eastAsia" w:ascii="华文楷体" w:hAnsi="华文楷体" w:eastAsia="华文楷体" w:cs="华文楷体"/>
        </w:rPr>
        <w:t>二、外汇局每日通过银行卡境外交易外汇管理系统向发卡金融机构发送暂停持境内银行卡在境外提取现金个人名单，发卡金融机构应不晚于北京时间当日17时起暂停名单内所列个人使用本机构银行卡在境外提取现金。</w:t>
      </w:r>
    </w:p>
    <w:p>
      <w:pPr>
        <w:ind w:firstLine="480"/>
        <w:rPr>
          <w:rFonts w:ascii="华文楷体" w:hAnsi="华文楷体" w:eastAsia="华文楷体" w:cs="华文楷体"/>
        </w:rPr>
      </w:pPr>
      <w:r>
        <w:rPr>
          <w:rFonts w:hint="eastAsia" w:ascii="华文楷体" w:hAnsi="华文楷体" w:eastAsia="华文楷体" w:cs="华文楷体"/>
        </w:rPr>
        <w:t>发卡金融机构应做好自身业务系统设置，严格实施前款规定。涉及系统改造的，应最迟于2018年4月1日前完成。</w:t>
      </w:r>
    </w:p>
    <w:p>
      <w:pPr>
        <w:ind w:firstLine="480"/>
        <w:rPr>
          <w:rFonts w:ascii="华文楷体" w:hAnsi="华文楷体" w:eastAsia="华文楷体" w:cs="华文楷体"/>
        </w:rPr>
      </w:pPr>
    </w:p>
    <w:p>
      <w:pPr>
        <w:ind w:firstLine="480"/>
        <w:rPr>
          <w:rFonts w:ascii="华文楷体" w:hAnsi="华文楷体" w:eastAsia="华文楷体" w:cs="华文楷体"/>
        </w:rPr>
      </w:pPr>
      <w:r>
        <w:rPr>
          <w:rFonts w:hint="eastAsia" w:ascii="华文楷体" w:hAnsi="华文楷体" w:eastAsia="华文楷体" w:cs="华文楷体"/>
        </w:rPr>
        <w:t>三、个人被列入暂停持境内银行卡在境外提取现金名单的，可凭本人有效身份证件向外汇局分支局查询境外提取现金明细；委托他人进行查询的，应提供委托人和受托人的有效身份证件、委托人的授权书。</w:t>
      </w:r>
    </w:p>
    <w:p>
      <w:pPr>
        <w:ind w:firstLine="480"/>
        <w:rPr>
          <w:rFonts w:ascii="华文楷体" w:hAnsi="华文楷体" w:eastAsia="华文楷体" w:cs="华文楷体"/>
        </w:rPr>
      </w:pPr>
    </w:p>
    <w:p>
      <w:pPr>
        <w:ind w:firstLine="480"/>
        <w:rPr>
          <w:rFonts w:ascii="华文楷体" w:hAnsi="华文楷体" w:eastAsia="华文楷体" w:cs="华文楷体"/>
        </w:rPr>
      </w:pPr>
      <w:r>
        <w:rPr>
          <w:rFonts w:hint="eastAsia" w:ascii="华文楷体" w:hAnsi="华文楷体" w:eastAsia="华文楷体" w:cs="华文楷体"/>
        </w:rPr>
        <w:t>四、个人持境内银行卡在境外提取现金，外币卡由每卡每日不得超过等值1000美元调整为等值1万元人民币，由发卡金融机构在自身业务系统内实现；人民币卡管理维持每卡每日不得超过等值1万元人民币，由境内人民币卡清算组织统一在自身业务系统实现。</w:t>
      </w:r>
    </w:p>
    <w:p>
      <w:pPr>
        <w:ind w:firstLine="480"/>
        <w:rPr>
          <w:rFonts w:ascii="华文楷体" w:hAnsi="华文楷体" w:eastAsia="华文楷体" w:cs="华文楷体"/>
        </w:rPr>
      </w:pPr>
    </w:p>
    <w:p>
      <w:pPr>
        <w:ind w:firstLine="480"/>
        <w:rPr>
          <w:rFonts w:ascii="华文楷体" w:hAnsi="华文楷体" w:eastAsia="华文楷体" w:cs="华文楷体"/>
        </w:rPr>
      </w:pPr>
      <w:r>
        <w:rPr>
          <w:rFonts w:hint="eastAsia" w:ascii="华文楷体" w:hAnsi="华文楷体" w:eastAsia="华文楷体" w:cs="华文楷体"/>
        </w:rPr>
        <w:t>五、发卡金融机构应完善客户管理，加强政策宣传，采取有效方式提示发生境外提取现金交易的持卡人注意政策变化，引导个人减少境外大额现金使用，并妥善保管暂停持境内银行卡在境外提取现金个人信息。</w:t>
      </w:r>
    </w:p>
    <w:p>
      <w:pPr>
        <w:ind w:firstLine="480"/>
        <w:rPr>
          <w:rFonts w:ascii="华文楷体" w:hAnsi="华文楷体" w:eastAsia="华文楷体" w:cs="华文楷体"/>
        </w:rPr>
      </w:pPr>
    </w:p>
    <w:p>
      <w:pPr>
        <w:ind w:firstLine="480"/>
        <w:rPr>
          <w:rFonts w:ascii="华文楷体" w:hAnsi="华文楷体" w:eastAsia="华文楷体" w:cs="华文楷体"/>
        </w:rPr>
      </w:pPr>
      <w:r>
        <w:rPr>
          <w:rFonts w:hint="eastAsia" w:ascii="华文楷体" w:hAnsi="华文楷体" w:eastAsia="华文楷体" w:cs="华文楷体"/>
        </w:rPr>
        <w:t>六、发卡金融机构、境内人民币卡清算组织及个人违反本通知规定的，按《条例》有关规定进行处罚。</w:t>
      </w:r>
    </w:p>
    <w:p>
      <w:pPr>
        <w:ind w:firstLine="480"/>
        <w:rPr>
          <w:rFonts w:ascii="华文楷体" w:hAnsi="华文楷体" w:eastAsia="华文楷体" w:cs="华文楷体"/>
        </w:rPr>
      </w:pPr>
    </w:p>
    <w:p>
      <w:pPr>
        <w:ind w:firstLine="480"/>
        <w:rPr>
          <w:rFonts w:ascii="华文楷体" w:hAnsi="华文楷体" w:eastAsia="华文楷体" w:cs="华文楷体"/>
        </w:rPr>
      </w:pPr>
      <w:r>
        <w:rPr>
          <w:rFonts w:hint="eastAsia" w:ascii="华文楷体" w:hAnsi="华文楷体" w:eastAsia="华文楷体" w:cs="华文楷体"/>
        </w:rPr>
        <w:t>七、本通知自2018年1月1日起实施。《国家外汇管理局关于规范银行外币卡管理的通知》（汇发〔2010〕53号）第三条第（七）款、《国家外汇管理局关于进一步加强银联人民币卡境外提现管理的通知》（汇发〔2015〕40号）自2018年4月1日起废止。</w:t>
      </w:r>
    </w:p>
    <w:p>
      <w:pPr>
        <w:ind w:firstLine="480"/>
        <w:rPr>
          <w:rFonts w:ascii="华文楷体" w:hAnsi="华文楷体" w:eastAsia="华文楷体" w:cs="华文楷体"/>
        </w:rPr>
      </w:pPr>
    </w:p>
    <w:p>
      <w:pPr>
        <w:ind w:firstLine="480"/>
        <w:rPr>
          <w:rFonts w:ascii="华文楷体" w:hAnsi="华文楷体" w:eastAsia="华文楷体" w:cs="华文楷体"/>
        </w:rPr>
      </w:pPr>
      <w:r>
        <w:rPr>
          <w:rFonts w:hint="eastAsia" w:ascii="华文楷体" w:hAnsi="华文楷体" w:eastAsia="华文楷体" w:cs="华文楷体"/>
        </w:rPr>
        <w:t>外汇局各分局、管理部接到本通知后，应及时转发辖内中心支局、城市商业银行、农村商业银行、外商独资银行、中外合资银行、外国银行分行、农村合作金融机构、村镇银行等。</w:t>
      </w:r>
    </w:p>
    <w:p>
      <w:pPr>
        <w:ind w:firstLine="480"/>
        <w:rPr>
          <w:rFonts w:ascii="华文楷体" w:hAnsi="华文楷体" w:eastAsia="华文楷体" w:cs="华文楷体"/>
        </w:rPr>
      </w:pPr>
    </w:p>
    <w:p>
      <w:pPr>
        <w:ind w:firstLine="480"/>
        <w:rPr>
          <w:rFonts w:ascii="华文楷体" w:hAnsi="华文楷体" w:eastAsia="华文楷体" w:cs="华文楷体"/>
        </w:rPr>
      </w:pPr>
      <w:r>
        <w:rPr>
          <w:rFonts w:hint="eastAsia" w:ascii="华文楷体" w:hAnsi="华文楷体" w:eastAsia="华文楷体" w:cs="华文楷体"/>
        </w:rPr>
        <w:t>特此通知。</w:t>
      </w:r>
    </w:p>
    <w:p>
      <w:pPr>
        <w:ind w:firstLine="480"/>
        <w:rPr>
          <w:rFonts w:ascii="华文楷体" w:hAnsi="华文楷体" w:eastAsia="华文楷体" w:cs="华文楷体"/>
        </w:rPr>
      </w:pPr>
    </w:p>
    <w:p>
      <w:pPr>
        <w:ind w:firstLine="480"/>
        <w:jc w:val="right"/>
        <w:rPr>
          <w:rFonts w:ascii="华文楷体" w:hAnsi="华文楷体" w:eastAsia="华文楷体" w:cs="华文楷体"/>
        </w:rPr>
      </w:pPr>
      <w:r>
        <w:rPr>
          <w:rFonts w:hint="eastAsia" w:ascii="华文楷体" w:hAnsi="华文楷体" w:eastAsia="华文楷体" w:cs="华文楷体"/>
        </w:rPr>
        <w:t>国家外汇管理局</w:t>
      </w:r>
    </w:p>
    <w:p>
      <w:pPr>
        <w:ind w:firstLine="480"/>
        <w:jc w:val="right"/>
        <w:rPr>
          <w:rFonts w:ascii="华文楷体" w:hAnsi="华文楷体" w:eastAsia="华文楷体" w:cs="华文楷体"/>
        </w:rPr>
      </w:pPr>
      <w:r>
        <w:rPr>
          <w:rFonts w:hint="eastAsia" w:ascii="华文楷体" w:hAnsi="华文楷体" w:eastAsia="华文楷体" w:cs="华文楷体"/>
        </w:rPr>
        <w:t xml:space="preserve">                                   2017年12月29日</w:t>
      </w:r>
    </w:p>
    <w:p>
      <w:pPr>
        <w:ind w:firstLine="480"/>
        <w:jc w:val="right"/>
        <w:rPr>
          <w:rFonts w:ascii="华文楷体" w:hAnsi="华文楷体" w:eastAsia="华文楷体" w:cs="华文楷体"/>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ind w:firstLine="480" w:firstLineChars="200"/>
        <w:jc w:val="left"/>
        <w:rPr>
          <w:rFonts w:ascii="华文楷体" w:hAnsi="华文楷体" w:eastAsia="华文楷体" w:cs="华文楷体"/>
          <w:bCs/>
          <w:shd w:val="clear" w:color="auto" w:fill="FFFFFF"/>
        </w:rPr>
      </w:pPr>
    </w:p>
    <w:p>
      <w:pPr>
        <w:spacing w:line="360" w:lineRule="auto"/>
        <w:jc w:val="center"/>
        <w:rPr>
          <w:rFonts w:ascii="华文宋体" w:hAnsi="华文宋体" w:eastAsia="华文宋体" w:cs="华文宋体"/>
          <w:b/>
          <w:sz w:val="28"/>
          <w:szCs w:val="28"/>
          <w:shd w:val="clear" w:color="auto" w:fill="FFFFFF"/>
        </w:rPr>
      </w:pPr>
      <w:bookmarkStart w:id="19" w:name="关于2017年北京市人大代表建议、批评和意见工作情况的报告"/>
      <w:r>
        <w:rPr>
          <w:rFonts w:hint="eastAsia" w:ascii="华文宋体" w:hAnsi="华文宋体" w:eastAsia="华文宋体" w:cs="华文宋体"/>
          <w:b/>
          <w:sz w:val="28"/>
          <w:szCs w:val="28"/>
          <w:shd w:val="clear" w:color="auto" w:fill="FFFFFF"/>
        </w:rPr>
        <w:t>关于2017年北京市人大代表建议、批评和意见工作情况的报告</w:t>
      </w:r>
    </w:p>
    <w:bookmarkEnd w:id="19"/>
    <w:p>
      <w:pPr>
        <w:pStyle w:val="24"/>
        <w:widowControl/>
        <w:spacing w:after="150"/>
        <w:rPr>
          <w:rFonts w:hint="eastAsia" w:ascii="宋体" w:hAnsi="宋体" w:eastAsia="宋体" w:cs="宋体"/>
          <w:color w:val="000000"/>
          <w:kern w:val="2"/>
          <w:sz w:val="18"/>
          <w:szCs w:val="18"/>
          <w:shd w:val="clear" w:color="auto" w:fill="FFFFFF"/>
          <w:lang w:val="en-US" w:eastAsia="zh-CN" w:bidi="ar-SA"/>
        </w:rPr>
      </w:pPr>
      <w:r>
        <w:rPr>
          <w:rFonts w:hint="eastAsia" w:ascii="宋体" w:hAnsi="宋体" w:eastAsia="宋体" w:cs="宋体"/>
          <w:color w:val="000000"/>
          <w:kern w:val="2"/>
          <w:sz w:val="18"/>
          <w:szCs w:val="18"/>
          <w:shd w:val="clear" w:color="auto" w:fill="FFFFFF"/>
          <w:lang w:val="en-US" w:eastAsia="zh-CN" w:bidi="ar-SA"/>
        </w:rPr>
        <w:t>日期：2018年1月4日  来源：北京市人大常委会门户网站</w:t>
      </w:r>
    </w:p>
    <w:p>
      <w:pPr>
        <w:spacing w:line="360" w:lineRule="auto"/>
        <w:jc w:val="center"/>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──2017年12月28日在北京市第十四届人民代表大会常务委员会</w:t>
      </w:r>
    </w:p>
    <w:p>
      <w:pPr>
        <w:spacing w:line="360" w:lineRule="auto"/>
        <w:jc w:val="center"/>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第四十三次会议上</w:t>
      </w:r>
    </w:p>
    <w:p>
      <w:pPr>
        <w:spacing w:line="360" w:lineRule="auto"/>
        <w:jc w:val="center"/>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市人大常委会代表联络室主任　陶世欣</w:t>
      </w:r>
    </w:p>
    <w:p>
      <w:pPr>
        <w:spacing w:line="360" w:lineRule="auto"/>
        <w:jc w:val="center"/>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主任、各位副主任、秘书长、各位委员：</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根据《北京市人民代表大会代表建议、批评和意见办理条例》(以下简称建议办理条例)的规定和《北京市人大常委会关于2017年代表建议、批评和意见办理工作的意见》(以下简称建议办理工作意见)，受主任会议委托，我就建议、批评和意见(以下简称建议)工作情况报告如下：</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一、代表建议提出及办理情况</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(一)代表建议提出情况</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截至11月底，2017年市人大代表共提出建议973件。其中，市十四届人大五次会议期间提出950件(直接以建议形式提出902件；经议案审查委员会审查、主席团讨论通过，议案作为建议处理97件；会后经代表提出或同意撤销49件)，闭会期间提出23件。</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从建议内容看，城乡建设管理方面494件，社会发展方面237件，综合经济方面135件，法制建设方面65件，行政管理方面29件，综合党团方面13件。从建议反映问题的性质看，法规制定修改类12件，政策调整完善类136件，体制机制完善类19件，城市规划管理类18件，工程建设类34件，管理服务完善类77件，工作作风改进类1件，具体事务类482件，一般性工作建议194件。</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(二)代表建议交办和办理情况</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根据建议内容和有关单位职能，代表建议交由“一府两院”及其他有关机关组织研究办理949件。其中，交市人大常委会工作机构研究办理14件，市人民政府研究办理873件，市高级人民法院研究办理26件，市人民检察院研究办理4件，其它有关机关组织研究办理32件。另有24件不属于本市职权范围，转送有关单位研究参考或转送全国人大北京团代表参考。</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全市各级领导对代表建议高度重视，各承办系统和单位认真做好建议办理工作。蔡奇同志在参加市十四届人大五次会议代表团审议时明确指出，要认真听取代表意见建议，努力提高办理质量，对办理工作提出了“高度重视、加强沟通、认真办理、研究协调、加强考核、按时答复、报送总结”的要求；陈吉宁同志在市政府常务会议上明确提出，要完善建议办理工作机制，加强统筹协调，提升办理层级，深度沟通协商，确保办理质量。按照市领导要求，各承办系统和单位认真贯彻建议办理条例规定，将建议办理工作列入重要议程，召开常务会议或办公会议研究部署办理工作，加强对建议工作的整体研究，统筹协调综合复杂建议的办理，开展现场督查指导，强化系统内督查考核。各承办单位坚持把建议办理作为常态化重点任务，明确办理责任，完善工作制度机制，提高与代表沟通交流的层级，扎实推进办理情况公开。在办好今年代表建议的同时，还对本届以来建议办理工作进行了自查。</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经过各承办系统、承办单位和广大工作人员的辛勤努力，代表建议均已按期办复。其中，吸纳代表建议，工作取得进展或列入工作计划的708件，占73%；因受法规、政策、财力和物力等客观条件限制，短期内无法解决，向代表说明解释的265件，占27%。</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二、市人大常委会推进代表建议工作情况</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(一)推进重点督办与统筹督办</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重点督办。各专委会全面分析对口单位承办的建议，召开对口单位建议工作督办会，对建议办理工作提出要求。在此基础上，对代表高度关注、与群众利益密切相关的6类67件建议进行了重点督办。内司委对养老问题抓住不放，持续推进，通过议案办理、专题询问，对“落实居家养老服务条例”方面30件建议，进行重点督办。财经委紧密结合“疏解非首都功能”这项全市中心工作，重点督办了“科学规划和合理利用疏解后腾退空间”方面7件建议，组成督办专题组，组织提建议代表对腾退空间的使用途径从发展新兴产业业态、城市绿地生态环境建设、提高民生保障和公共服务供给三个方面开展调研。教科文卫体委结合法规立项论证重点督办了“北京市非物质文化遗产保护发展”方面3件建议，组织代表广泛听取各方面意见，比较全面深入地了解了本市非遗保护的基本情况和重点难点问题，为下一步法规制定奠定了基础。城建环保委结合执法检查，围绕“规划与建设、减量与分类、收集运输与处理、监督管理”等内容开展实地检查，重点督办了“垃圾分类和处理设施建设”方面15件建议。农村委结合议案办理重点督办了“关于加快新型城镇化建设，推进农村产业转型升级，促进农民就业增收”方面8件建议，邀请提建议代表作为议案督办组成员，深入村庄或项目进行深度调研。民宗侨委结合听取专项工作报告重点督办了“宗教房产落政”方面4件建议，在贯彻落实全国宗教工作会议精神的意见中充分吸纳了代表的建议。在督办工作中，常委会主任、主管副主任亲自带队，深入调研，加大了督办力度。</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统筹督办。一是代表联络室在建议办理完毕后，全面征求代表意见，对122位代表316件建议办理情况的反馈意见，进行了认真梳理，重点就代表有意见的37件建议与市政府办公厅逐件研究，交承办单位进一步与代表沟通解释；对确需重新研究的建议，再次答复代表，以取得代表理解。有关单位高度重视市人大常委会的复查意见，到目前为止，与代表就32件建议的情况进行了沟通，沟通效果较为明显。二是结合市政府年度重要民生实事项目，推进建议督办。今年有16件与群众生活密切相关，涉及重要民生的建议纳入北京市2017年重要民生实事项目。结合建议办理工作，常委会主管领导带队组织代表就“一刻钟社区服务圈”、“养老服务驿站”两方面实事项目落实情况进行实地调研检查。三是加强同“一府两院”的沟通和协调，与市政府办公厅一同到承办建议较多的市住房城乡建设委、交通委、农委、城管委、民委等单位进行调研，协调解决办理工作中的困难和问题。参加市高级人民法院、市人民检察院建议办理座谈会，听取代表对建议工作的意见，促进总体办理工作的开展。</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(二)推进建议及其办理情况公开工作</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按照《北京市人大代表建议、批评和意见及其办理情况公开工作意见》的要求，统筹考虑代表建议及其答复意见内容等有关情况，在市人大常委会门户网站上向社会公开建议947件，占建议总数的97%；建议答复意见809件，占公开建议数的85%，进一步推进了公开工作的常态化。</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(三)认真总结本届建议工作</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今年是市十四届人大及其常委会任期的最后一年，为认真总结本届建议工作的有效做法，查找存在的问题和不足，把握建议工作的特点规律，代表联络室对建议工作进行了全面总结。一是召开各系统建议工作主管部门座谈会，对本届代表提出的建议和代表建议工作进行了专题研究，形成建议情况总结分析，送“一府两院”相关部门参考。二是对本届以来连续多次提出的241件建议进行了分析，归纳梳理出“打通断头路”、“老旧房屋加装电梯”、“交通噪音污染治理”等若干方面问题，供相关专委会与承办单位参考。三是12月中旬与市政协联合召开全市代表建议、政协提案办理工作总结会，总结本届代表建议、政协提案办理工作，表彰在本届建议工作中表现突出的先进单位和个人，部署下一步建议工作。景俊海同志出席会议并讲话。</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三、本届代表建议工作回顾</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本届以来，代表共提出建议6140件。其中，会议期间提出5907件，闭会期间提出233件(截至今年11月底)；有16424人次705位代表参与提出建议，其中有549位代表单独或领衔提出建议；代表建议内容覆盖广泛，既聚焦京津冀协同发展、城市副中心建设、编制新版城市总体规划、“大城市病”治理、创新驱动发展、监察体制改革、司法体制改革等全市中心工作，又广泛涉及住房保障、环境整治、养老服务、医疗改革、教育发展、食品安全等人民群众普遍关心的问题；建议综合性强的特点明显，跨部门、跨系统办理的建议上升到63%。面对代表建议越来越综合复杂的特点，和首都工作新形势新任务更高的要求，本届市人大常委会进一步深化对建议功能性质的认识，积极探索符合建议工作特点和规律的建议工作方式。主要是：</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进一步深化对代表建议和建议工作的认识。正确认识代表建议的法律性质和功能定位，是提好和办好代表建议的前提。常委会更加深刻地认识到，代表建议是法律赋予代表的一项权利，是人民代表大会制度下代表履职的重要载体，是代表密切联系人民群众、收集和反映群众愿望和诉求的重要渠道，是汇集群众智慧、实现人民有序参与的重要形式，是国家机关科学决策、民主决策、改进工作的重要参考。认真办理代表建议是国家机关的法定职责，是践行党的群众路线，解决好人民群众最关心、最直接、最现实的利益问题，落实“以人民为中心”发展思想的具体体现。基于对代表建议的深刻认识，新修改的建议办理条例对建议提出、交办、办理和监督检查等工作进行了新的制度设计。</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着力加强制度建设。一是建立代表培训制度。常委会加强对代表的学习培训，依法规范代表建议的提出。二是建立代表建议确认制度。代表大会期间，各代表团、大会议案审查委员会建议组依法从建议内容、形式上进行把关，保证了代表建议的提出质量。三是建立代表建议分析制度。本届以来，各专委会、代表联络室坚持建议交办前进行综合分析和专项分析，按照“分门别类、定性入轨”的要求，对代表建议反映的问题内容和性质、代表建议集中反映的问题、代表多次以建议形式反映的问题进行梳理，为提高办理质量，有针对性地加强督办奠定基础。四是建立代表建议及其办理情况公开制度。2015年常委会主任会议研究通过建议公开工作意见，对公开的原则、内容、程序等进行了规范，为建议公开工作提供了制度保障。</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改进建议工作方式。一是提高建议交办层级。将过去由常委会工作机构交办建议上升为常委会会议听取和审议建议总体情况、建议分析情况和年度建议交办、办理、督办工作意见，提高了建议工作的权威性。二是建立集体统一负责和分工负责相结合的工作机制。针对代表建议越来越综合复杂，迫切需要加大整体研究和统筹协调的问题，努力推进各承办系统和单位按照“认真分类研究、积极恰当处理、诚恳明确答复、加强统筹协调”的工作思路，积极探索分类分层办理建议工作方式。三是努力提高建议督办实效。形成了“专委会重点督办，代表联络室统筹督办”的建议督办格局，多种形式并举，采取整体督办与重点督办相结合，督办与立法调研、执法检查、常委会监督工作相结合的方法，积极推进督办工作。四是加快信息化建设。全面升级“北京市人大代表议案建议服务管理系统”，实现了建议提交、交办、办理、反馈意见、督办等全过程互联网操作，同时开发了建议工作手机APP版块，提高了工作效率，同时也为会上和闭会后的代表建议分析工作奠定了基础。</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主任、各位副主任、秘书长、各位委员，本届代表建议在密切党和政府与人民群众联系，推动首都建设发展中发挥了重要作用。代表建议工作在我市各级领导的高度重视，在各承办系统和承办单位的共同努力下，在广大代表的大力支持下，取得了新的进展。但是，我们也深刻认识到，代表建议工作与代表和人民群众的要求还有差距，分类分层办理机制还不够健全和完善，需要多部门研究办理的建议统筹协调力度还不够，解释多措施少、重答复轻办理、答复意见针对性不够强的现象依然在一些单位不同程度地存在，专题培训还不够，建议质量还有待提高，等等问题，都还需要进一步凝聚人大代表、承办单位等各方面的力量和智慧共同加以研究解决。明年是新一届人大及其常委会的开局之年，我们要认真学习贯彻党的十九大精神，坚持以习近平新时代中国特色社会主义思想为根本遵循，坚持党的领导、人民当家作主、依法治国有机统一，牢固树立“以人民为中心”的发展思想，坚持为人民服务的宗旨，通过代表建议依法有序地把人民对美好生活的需要汇集反映上来，不断增强群众的获得感、幸福感、安全感，更加充分地发挥代表建议在首都“四个中心”功能建设和国际一流和谐宜居之都建设中的重要作用。</w:t>
      </w:r>
    </w:p>
    <w:p>
      <w:pPr>
        <w:spacing w:line="360" w:lineRule="auto"/>
        <w:ind w:firstLine="480"/>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以上报告，请予审议。</w:t>
      </w:r>
    </w:p>
    <w:p>
      <w:pPr>
        <w:spacing w:line="360" w:lineRule="auto"/>
        <w:ind w:firstLine="480"/>
        <w:jc w:val="left"/>
        <w:rPr>
          <w:rFonts w:ascii="华文楷体" w:hAnsi="华文楷体" w:eastAsia="华文楷体" w:cs="华文楷体"/>
          <w:bCs/>
          <w:shd w:val="clear" w:color="auto" w:fill="FFFFFF"/>
        </w:rPr>
      </w:pPr>
    </w:p>
    <w:p>
      <w:pPr>
        <w:spacing w:line="360" w:lineRule="auto"/>
        <w:ind w:firstLine="480"/>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w:t>
      </w:r>
      <w:r>
        <w:rPr>
          <w:rFonts w:hint="eastAsia" w:ascii="华文楷体" w:hAnsi="华文楷体" w:eastAsia="华文楷体" w:cs="华文楷体"/>
          <w:b/>
          <w:shd w:val="clear" w:color="auto" w:fill="FFFFFF"/>
        </w:rPr>
        <w:t xml:space="preserve">　附件： </w:t>
      </w:r>
    </w:p>
    <w:p>
      <w:pPr>
        <w:spacing w:line="360" w:lineRule="auto"/>
        <w:jc w:val="center"/>
        <w:rPr>
          <w:rFonts w:ascii="华文楷体" w:hAnsi="华文楷体" w:eastAsia="华文楷体" w:cs="华文楷体"/>
          <w:b/>
          <w:shd w:val="clear" w:color="auto" w:fill="FFFFFF"/>
        </w:rPr>
      </w:pPr>
      <w:r>
        <w:rPr>
          <w:rFonts w:hint="eastAsia" w:ascii="华文楷体" w:hAnsi="华文楷体" w:eastAsia="华文楷体" w:cs="华文楷体"/>
          <w:b/>
          <w:shd w:val="clear" w:color="auto" w:fill="FFFFFF"/>
        </w:rPr>
        <w:t>市人大常委会机关办理代表建议、批评和意见情况的报告</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2017年，市人大常委会机关共承办市十四届人大五次会议代表建议20件。其中，由常委会机关主办、单办的14件，会办的6件。常委会机关按照《北京市人民代表大会代表建议、批评和意见办理条例》规定和《北京市人大常委会关于2017年代表建议、批评和意见办理工作的意见》要求，结合机关年度工作安排，认真办理代表建议，取得了比较好的效果。</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一、加强办前分析，强化责任分工</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常委会机关高度重视代表建议办理工作，常委会领导在相关会议及批示中多次强调，要提高站位，从人大常委会是宪法法律赋予各项职责的工作机关，是同人民群众保持密切联系的代表机关的高度，开展代表建议办理工作。要积极主动把代表建议办理工作与推动人大及其常委会立法、监督各项中心工作相结合，与机关自身建设相结合，与解决代表关心、群众关注的民生热点难点问题相结合，完善办理工作机制、方法，让人大代表满意，让人民群众满意。根据机关的统一安排，办公厅协调常委会相关工作机构对20项代表建议内容逐件逐项进行了研究分析。20件代表建议均与人大及其常委会依法履行职权、机关自身建设工作密切相关，15件涉及到立法、监督和代表工作方面，5件涉及信息化系统建设等机关自身建设问题，涉及办公厅、法制办、内司办、教科文卫体办、城建环保办、民宗侨办、代联室、人事室等8个工作机构。3月29日，组织召开机关代表建议交办会，常委会副秘书长、办公厅主任黄强同志对建议办理工作提出了要求。各工作机构严格按照建议交办会提出的工作要求，强化责任落实，建立主要领导负总责，分管领导分工督办，相关处室具体承办的工作机制，形成“一级抓一级，层层抓落实”的责任体系。</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二、深入调查研究，夯实办理基础</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各工作机构都把调查研究作为办好建议的基础性工作来抓。如，教科文卫体办公室在办理孙丹威代表提出的关于加快制定北京非物质遗产保护条例的建议时，会同市人大常委会法制办、市文化局等有关部门深入调研，到东城、西城、海淀、通州等区，实地考察了数十个非物质文化遗产代表性项目。还走访了国家非物质文化遗产保护中心、故宫博物院、市文联、非物质文化遗产技艺传承协会等机构和组织。共组织召开10余次座谈会，听取20余位专家学者以及人大代表、50余位非遗代表性传承人和项目保护单位负责人、市政府相关部门、16个区人大常委会等各方面的意见建议。李伟主任、杨艺文副主任多次参加调研和座谈会，对论证工作给予指导。通过调研，比较全面深入地了解了本市非遗保护的基本情况，以及存在的问题和困难，为下一步立法工作奠定基础。如，城建环保办公室在办理苏煜代表提出的关于将禁止在居住小区及公共区域有私装地锁的行为纳入法规的建议时，结合常委会停车条例立法调研工作，7月4日，李伟主任带领部分常委会组成人员、市人大代表，到五棵松地下停车场和首钢静态交通研发示范基地进行专题调研。城建环保办公室和法制办公室一道，就立法相关问题多次与市政府相关部门进行沟通协调，到东城、朝阳、海淀、石景山等区，就地下和立体停车场建设、居住区停车资源挖潜、路侧停车管理改革等方面内容开展实地调研，充分了解情况，进一步提高常委会立法和代表建议办理工作水平。　</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三、注重问题解决，突出办理实效</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在建议办理过程中，常委会机关始终坚持以问题为导向，以实效为目的，突出办理工作的实效性。如，法制办公室将办理刘红宇代表提出的关于推进京津冀一体化法规清理工作的建议，纳入常委会地方性法规清理的总盘子去具体安排。截至2017年4月，已对现行有效地方性法规进行过8次全面清理，针对与上位法不符、与新情况不适、与改革要求不合的问题法规进行了修改、废止。并且开展制度机制建设，制定京津冀三地人大立法项目协同办法，对进一步深化和完善京津冀协同立法会商机制和信息共享机制作了规定。为及时清理与京津冀协同发展不相适应的地方性法规，及时作出修改或者废止决定创造了条件。为深入推进京津冀立法工作协同，为京津冀协同发展提供法制保障，常委会主任会议根据《关于加强京津冀人大协同立法的若干意见》的规定，制定《京津冀人大立法项目协同办法》。在法规清理过程中，为反映民意，集中民智，常委会还通过网站、电视台、报纸和电话反馈等多种途径广泛征求社会公众意见，扩大公众参与，了解人民群众的需要和期待。如，人事室办理马龙代表提出的关于规范宪法宣誓工作的建议，从制定工作方案、购置硬件设施、精心布置会场、做好会前准备、组织现场演练、加强新闻报道六个方面逐一研究落实。下一步还将摸清市“一府两院”和各区、乡镇开展宪法宣誓的具体情况，加强对全市各有关单位的业务指导，使代表建议落实到实处。如，办公厅在办理刘峰代表提出的关于为人大代表建立个人网站或公众号的建议过程中，重点做好建议办理与机关信息化建设规划的衔接工作，及时启动代表APP和常委会公众号的建设工作，12月份完成了项目建设任务。</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四、着眼长远，持续推进相关工作</w:t>
      </w: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为进一步提高建议办理质量，机关按照全市统一要求推进建议答复意见向社会公开工作，持续完善建议办理程序。今年是全面实行网上提交代表建议答复意见第一年，机关各承办部门认真分析研究代表建议，提前与代表充分沟通，及时向北京市人大常委会门户网站代表网上服务平台传送办理结果。截止6月30日，代表建议办理结果已全部公开。对于本年度一时难以解决而又需要解决的问题，相关建议办理工作机构着眼长远，加强统筹计划安排，持续推进相关工作开展。如，内务司法办公室办理郭文杰代表提出的关于制定《北京市预防未成年人犯罪条例》的建议，需要加强调研论证工作，无法及时纳入本年度立法。但当前未成年人犯罪出现一些新的情况和特点，并呈现出犯罪低龄化、犯罪手段多样化，犯罪后果严重化的趋势，引起了社会各方面的广泛关注。经过与团市委沟通，拟由团市委牵头研究《北京市预防未成人犯罪条例》立法的必要性、可行性和主要制度设计，并建议团市委在论证过程中可以考虑结合《北京市未成年人保护条例》一并研究，增加相关的规定，补充、细化有关预防未成年人犯罪的规定。</w:t>
      </w: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r>
        <w:rPr>
          <w:rFonts w:hint="eastAsia" w:ascii="华文楷体" w:hAnsi="华文楷体" w:eastAsia="华文楷体" w:cs="华文楷体"/>
          <w:bCs/>
          <w:shd w:val="clear" w:color="auto" w:fill="FFFFFF"/>
        </w:rPr>
        <w:t xml:space="preserve"> </w:t>
      </w: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left"/>
        <w:rPr>
          <w:rFonts w:ascii="华文楷体" w:hAnsi="华文楷体" w:eastAsia="华文楷体" w:cs="华文楷体"/>
          <w:bCs/>
          <w:shd w:val="clear" w:color="auto" w:fill="FFFFFF"/>
        </w:rPr>
      </w:pPr>
    </w:p>
    <w:p>
      <w:pPr>
        <w:spacing w:line="360" w:lineRule="auto"/>
        <w:jc w:val="center"/>
        <w:rPr>
          <w:rFonts w:ascii="华文宋体" w:hAnsi="华文宋体" w:eastAsia="华文宋体" w:cs="华文宋体"/>
          <w:b/>
          <w:shd w:val="clear" w:color="auto" w:fill="FFFFFF"/>
        </w:rPr>
      </w:pPr>
      <w:bookmarkStart w:id="20" w:name="中国证券投资基金业协会创投基金专委会2018年第一次工作会议在北京召开"/>
      <w:r>
        <w:rPr>
          <w:rFonts w:hint="eastAsia" w:ascii="华文宋体" w:hAnsi="华文宋体" w:eastAsia="华文宋体" w:cs="华文宋体"/>
          <w:b/>
          <w:shd w:val="clear" w:color="auto" w:fill="FFFFFF"/>
        </w:rPr>
        <w:t>中国证券投资基金业协会创投基金专委会2018年第一次工作会议在北京召开</w:t>
      </w:r>
    </w:p>
    <w:bookmarkEnd w:id="20"/>
    <w:p>
      <w:pPr>
        <w:jc w:val="center"/>
        <w:rPr>
          <w:rFonts w:hint="eastAsia" w:ascii="宋体" w:hAnsi="宋体" w:eastAsia="宋体" w:cs="宋体"/>
          <w:color w:val="000000"/>
          <w:kern w:val="2"/>
          <w:sz w:val="18"/>
          <w:szCs w:val="18"/>
          <w:shd w:val="clear" w:color="auto" w:fill="FFFFFF"/>
          <w:lang w:val="en-US" w:eastAsia="zh-CN" w:bidi="ar-SA"/>
        </w:rPr>
      </w:pPr>
      <w:r>
        <w:rPr>
          <w:rFonts w:hint="eastAsia" w:ascii="宋体" w:hAnsi="宋体" w:eastAsia="宋体" w:cs="宋体"/>
          <w:color w:val="000000"/>
          <w:kern w:val="2"/>
          <w:sz w:val="18"/>
          <w:szCs w:val="18"/>
          <w:shd w:val="clear" w:color="auto" w:fill="FFFFFF"/>
          <w:lang w:val="en-US" w:eastAsia="zh-CN" w:bidi="ar-SA"/>
        </w:rPr>
        <w:t>日期：2018年1月2日  来源：中国证券投资基金业协会</w:t>
      </w:r>
    </w:p>
    <w:p>
      <w:pPr>
        <w:jc w:val="center"/>
        <w:rPr>
          <w:sz w:val="21"/>
          <w:szCs w:val="21"/>
        </w:rPr>
      </w:pPr>
    </w:p>
    <w:p>
      <w:pPr>
        <w:rPr>
          <w:rFonts w:ascii="华文楷体" w:hAnsi="华文楷体" w:eastAsia="华文楷体" w:cs="华文楷体"/>
        </w:rPr>
      </w:pPr>
      <w:r>
        <w:rPr>
          <w:rFonts w:hint="eastAsia"/>
        </w:rPr>
        <w:t xml:space="preserve">     </w:t>
      </w:r>
      <w:r>
        <w:rPr>
          <w:rFonts w:hint="eastAsia" w:ascii="华文楷体" w:hAnsi="华文楷体" w:eastAsia="华文楷体" w:cs="华文楷体"/>
        </w:rPr>
        <w:t>2018年1月2日，中国证券投资基金业协会（简称协会）创业投资基金专业委员会（简称专委会）2018年第一次工作会议在北京召开。会议由专委会主席靳海涛主持，9位委员、6位委员委派代表参加会议；协会会长洪磊、副会长张小艾及相关部门负责同志出席会议。</w:t>
      </w:r>
    </w:p>
    <w:p>
      <w:pPr>
        <w:pStyle w:val="11"/>
        <w:widowControl/>
        <w:spacing w:line="330" w:lineRule="atLeast"/>
        <w:jc w:val="center"/>
      </w:pPr>
      <w:r>
        <w:rPr>
          <w:rFonts w:hint="eastAsia" w:ascii="宋体" w:hAnsi="宋体" w:eastAsia="宋体" w:cs="宋体"/>
          <w:sz w:val="21"/>
          <w:szCs w:val="21"/>
          <w:shd w:val="clear" w:color="auto" w:fill="F8FCF1"/>
        </w:rPr>
        <w:drawing>
          <wp:inline distT="0" distB="0" distL="114300" distR="114300">
            <wp:extent cx="3156585" cy="2106295"/>
            <wp:effectExtent l="0" t="0" r="5715" b="8255"/>
            <wp:docPr id="3" name="图片 1" descr="webwxgetmsgim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webwxgetmsgimg"/>
                    <pic:cNvPicPr>
                      <a:picLocks noChangeAspect="1"/>
                    </pic:cNvPicPr>
                  </pic:nvPicPr>
                  <pic:blipFill>
                    <a:blip r:embed="rId9"/>
                    <a:stretch>
                      <a:fillRect/>
                    </a:stretch>
                  </pic:blipFill>
                  <pic:spPr>
                    <a:xfrm>
                      <a:off x="0" y="0"/>
                      <a:ext cx="3156585" cy="2106295"/>
                    </a:xfrm>
                    <a:prstGeom prst="rect">
                      <a:avLst/>
                    </a:prstGeom>
                    <a:noFill/>
                    <a:ln w="9525">
                      <a:noFill/>
                    </a:ln>
                  </pic:spPr>
                </pic:pic>
              </a:graphicData>
            </a:graphic>
          </wp:inline>
        </w:drawing>
      </w:r>
    </w:p>
    <w:p>
      <w:pPr>
        <w:ind w:firstLine="480" w:firstLineChars="200"/>
        <w:rPr>
          <w:rFonts w:ascii="华文楷体" w:hAnsi="华文楷体" w:eastAsia="华文楷体" w:cs="华文楷体"/>
        </w:rPr>
      </w:pPr>
      <w:r>
        <w:rPr>
          <w:rFonts w:hint="eastAsia" w:ascii="华文楷体" w:hAnsi="华文楷体" w:eastAsia="华文楷体" w:cs="华文楷体"/>
        </w:rPr>
        <w:t>会议讨论并通过了增补中国风险投资公司总裁王一军先生为专委会委员的决议，会议审议通过了《创业投资基金专委会2017年工作总结报告（草案）》、《创业投资基金专委会2018年重点工作计划（草案）》等文件，并围绕建立协会与相关部门沟通交流机制、行业税收征管、上市穿透审查、大资管背景下的募资与退出等行业问题进行了座谈交流。</w:t>
      </w:r>
    </w:p>
    <w:p>
      <w:pPr>
        <w:ind w:firstLine="480" w:firstLineChars="200"/>
        <w:rPr>
          <w:rFonts w:ascii="华文楷体" w:hAnsi="华文楷体" w:eastAsia="华文楷体" w:cs="华文楷体"/>
        </w:rPr>
      </w:pPr>
      <w:r>
        <w:rPr>
          <w:rFonts w:hint="eastAsia" w:ascii="华文楷体" w:hAnsi="华文楷体" w:eastAsia="华文楷体" w:cs="华文楷体"/>
        </w:rPr>
        <w:t>会议认为，在协会的领导和支持下，2017年，专委会立足为行业服务、为决策提供咨询的功能定位，发动委员们积极作为，在促进行业交流、推动行业发展、落实工作机制等方面进行了积极探索、取得了明显成效，受到协会和业界高度评价。</w:t>
      </w:r>
    </w:p>
    <w:p>
      <w:pPr>
        <w:ind w:firstLine="480" w:firstLineChars="200"/>
        <w:rPr>
          <w:rFonts w:ascii="华文楷体" w:hAnsi="华文楷体" w:eastAsia="华文楷体" w:cs="华文楷体"/>
        </w:rPr>
      </w:pPr>
      <w:r>
        <w:rPr>
          <w:rFonts w:hint="eastAsia" w:ascii="华文楷体" w:hAnsi="华文楷体" w:eastAsia="华文楷体" w:cs="华文楷体"/>
        </w:rPr>
        <w:t>会议要求，根据会议讨论意见，根据行业需要、问题导向、多实事、少虚功的原则，按照明确具体任务、明确责任主体、明确进度安排的要求，进一步修改完善《专委会2018年度重点工作计划》后，加强统筹协调，加快组织实施。</w:t>
      </w:r>
    </w:p>
    <w:p>
      <w:pPr>
        <w:pStyle w:val="11"/>
        <w:widowControl/>
        <w:spacing w:line="330" w:lineRule="atLeast"/>
        <w:jc w:val="center"/>
        <w:rPr>
          <w:rFonts w:ascii="宋体" w:hAnsi="宋体" w:eastAsia="宋体" w:cs="宋体"/>
          <w:sz w:val="21"/>
          <w:szCs w:val="21"/>
          <w:shd w:val="clear" w:color="auto" w:fill="F8FCF1"/>
        </w:rPr>
      </w:pPr>
      <w:r>
        <w:rPr>
          <w:rFonts w:hint="eastAsia" w:ascii="宋体" w:hAnsi="宋体" w:eastAsia="宋体" w:cs="宋体"/>
          <w:sz w:val="21"/>
          <w:szCs w:val="21"/>
          <w:shd w:val="clear" w:color="auto" w:fill="F8FCF1"/>
        </w:rPr>
        <w:drawing>
          <wp:inline distT="0" distB="0" distL="114300" distR="114300">
            <wp:extent cx="2930525" cy="1943735"/>
            <wp:effectExtent l="0" t="0" r="3175" b="18415"/>
            <wp:docPr id="5" name="图片 2" descr="webwxgetmsgimg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webwxgetmsgimg (2)"/>
                    <pic:cNvPicPr>
                      <a:picLocks noChangeAspect="1"/>
                    </pic:cNvPicPr>
                  </pic:nvPicPr>
                  <pic:blipFill>
                    <a:blip r:embed="rId11"/>
                    <a:stretch>
                      <a:fillRect/>
                    </a:stretch>
                  </pic:blipFill>
                  <pic:spPr>
                    <a:xfrm>
                      <a:off x="0" y="0"/>
                      <a:ext cx="2930525" cy="1943735"/>
                    </a:xfrm>
                    <a:prstGeom prst="rect">
                      <a:avLst/>
                    </a:prstGeom>
                    <a:noFill/>
                    <a:ln w="9525">
                      <a:noFill/>
                    </a:ln>
                  </pic:spPr>
                </pic:pic>
              </a:graphicData>
            </a:graphic>
          </wp:inline>
        </w:drawing>
      </w:r>
    </w:p>
    <w:p>
      <w:pPr>
        <w:pStyle w:val="11"/>
        <w:widowControl/>
        <w:spacing w:line="330" w:lineRule="atLeast"/>
        <w:ind w:firstLine="480" w:firstLineChars="200"/>
        <w:rPr>
          <w:rFonts w:ascii="华文楷体" w:hAnsi="华文楷体" w:eastAsia="华文楷体" w:cs="华文楷体"/>
        </w:rPr>
      </w:pPr>
      <w:r>
        <w:rPr>
          <w:rFonts w:hint="eastAsia" w:ascii="华文楷体" w:hAnsi="华文楷体" w:eastAsia="华文楷体" w:cs="华文楷体"/>
        </w:rPr>
        <w:t>最后，洪磊会长通报了私募基金行业发展的最新情况，2017年工作成效和下一步主要工作思路。他指出，2017年工作成效的取得主要得益于私募基金自律规则的初步建立，资产管理业务综合报送平台（AMBERS）的进一步完善和行业专业化水平的提升。他强调，创业投资基金在坚持投早投小、投新投长、推动长期资本形成、建设多层次资本市场、服务实体经济创新发展和转型升级等方面发挥了越来越重要的作用。专委会在主席和秘书长的带领下，在加强行业自治、引领行业发展方面做了不少工作。希望各位委员在下一步的工作中要深入学习贯彻党的十九大和全国金融工作会议精神，以改革开放40周年为契机，围绕行业热点难点问题，继续凝心聚力、积极作为，为推进创投基金行业规范健康发展，完善私募行业生态做出更大贡献。特别要抓紧研究建设股权（创投）基金管理人会员信用信息报告工作机制，引导私募基金管理人逐步建立信用的自我积累、自我运用和自我管理机制，引导行业以信用立身、实现信用自治，逐步提升行业整体信用水平、树立行业社会公信力，实现行业健康持续发展。</w:t>
      </w:r>
    </w:p>
    <w:p>
      <w:pPr>
        <w:pStyle w:val="11"/>
        <w:widowControl/>
        <w:spacing w:line="330" w:lineRule="atLeast"/>
        <w:jc w:val="center"/>
      </w:pPr>
      <w:r>
        <w:rPr>
          <w:rFonts w:hint="eastAsia" w:ascii="宋体" w:hAnsi="宋体" w:eastAsia="宋体" w:cs="宋体"/>
          <w:sz w:val="21"/>
          <w:szCs w:val="21"/>
          <w:shd w:val="clear" w:color="auto" w:fill="F8FCF1"/>
        </w:rPr>
        <w:drawing>
          <wp:inline distT="0" distB="0" distL="114300" distR="114300">
            <wp:extent cx="3302635" cy="2338705"/>
            <wp:effectExtent l="0" t="0" r="12065" b="4445"/>
            <wp:docPr id="2" name="图片 3" descr="640.web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640.webp"/>
                    <pic:cNvPicPr>
                      <a:picLocks noChangeAspect="1"/>
                    </pic:cNvPicPr>
                  </pic:nvPicPr>
                  <pic:blipFill>
                    <a:blip r:embed="rId13"/>
                    <a:stretch>
                      <a:fillRect/>
                    </a:stretch>
                  </pic:blipFill>
                  <pic:spPr>
                    <a:xfrm>
                      <a:off x="0" y="0"/>
                      <a:ext cx="3302635" cy="2338705"/>
                    </a:xfrm>
                    <a:prstGeom prst="rect">
                      <a:avLst/>
                    </a:prstGeom>
                    <a:noFill/>
                    <a:ln w="9525">
                      <a:noFill/>
                    </a:ln>
                  </pic:spPr>
                </pic:pic>
              </a:graphicData>
            </a:graphic>
          </wp:inline>
        </w:drawing>
      </w: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spacing w:line="360" w:lineRule="auto"/>
        <w:jc w:val="center"/>
        <w:rPr>
          <w:rFonts w:ascii="华文宋体" w:hAnsi="华文宋体" w:eastAsia="华文宋体" w:cs="华文宋体"/>
          <w:b/>
          <w:shd w:val="clear" w:color="auto" w:fill="FFFFFF"/>
        </w:rPr>
      </w:pPr>
    </w:p>
    <w:p>
      <w:pPr>
        <w:jc w:val="center"/>
        <w:rPr>
          <w:rFonts w:ascii="华文宋体" w:hAnsi="华文宋体" w:eastAsia="华文宋体" w:cs="华文宋体"/>
          <w:b/>
          <w:bCs/>
          <w:sz w:val="22"/>
          <w:szCs w:val="22"/>
        </w:rPr>
      </w:pPr>
      <w:bookmarkStart w:id="21" w:name="对养老金安全的几点认知——中国证券投资基金业协会副会长钟蓉萨在《中国养老金精算报"/>
      <w:r>
        <w:rPr>
          <w:rFonts w:hint="eastAsia" w:ascii="华文宋体" w:hAnsi="华文宋体" w:eastAsia="华文宋体" w:cs="华文宋体"/>
          <w:b/>
          <w:bCs/>
          <w:sz w:val="22"/>
          <w:szCs w:val="22"/>
        </w:rPr>
        <w:t>对养老金安全的几点认知——中国证券投资基金业协会副会长钟蓉萨在《中国养老金精算报告 2018-2022》发布会上的讲话</w:t>
      </w:r>
    </w:p>
    <w:bookmarkEnd w:id="21"/>
    <w:p>
      <w:pPr>
        <w:jc w:val="center"/>
        <w:rPr>
          <w:rFonts w:hint="eastAsia" w:ascii="宋体" w:hAnsi="宋体" w:eastAsia="宋体" w:cs="宋体"/>
          <w:color w:val="000000"/>
          <w:kern w:val="2"/>
          <w:sz w:val="18"/>
          <w:szCs w:val="18"/>
          <w:shd w:val="clear" w:color="auto" w:fill="FFFFFF"/>
          <w:lang w:val="en-US" w:eastAsia="zh-CN" w:bidi="ar-SA"/>
        </w:rPr>
      </w:pPr>
      <w:r>
        <w:rPr>
          <w:rFonts w:hint="eastAsia" w:ascii="宋体" w:hAnsi="宋体" w:eastAsia="宋体" w:cs="宋体"/>
          <w:color w:val="000000"/>
          <w:kern w:val="2"/>
          <w:sz w:val="18"/>
          <w:szCs w:val="18"/>
          <w:shd w:val="clear" w:color="auto" w:fill="FFFFFF"/>
          <w:lang w:val="en-US" w:eastAsia="zh-CN" w:bidi="ar-SA"/>
        </w:rPr>
        <w:t>日期：2018年1月3日  来源：中国证券投资基金业协会</w:t>
      </w:r>
    </w:p>
    <w:p>
      <w:pPr>
        <w:jc w:val="center"/>
        <w:rPr>
          <w:rFonts w:hint="eastAsia" w:ascii="宋体" w:hAnsi="宋体" w:eastAsia="宋体" w:cs="宋体"/>
          <w:color w:val="000000"/>
          <w:kern w:val="2"/>
          <w:sz w:val="18"/>
          <w:szCs w:val="18"/>
          <w:shd w:val="clear" w:color="auto" w:fill="FFFFFF"/>
          <w:lang w:val="en-US" w:eastAsia="zh-CN" w:bidi="ar-SA"/>
        </w:rPr>
      </w:pPr>
    </w:p>
    <w:p>
      <w:pPr>
        <w:jc w:val="center"/>
        <w:rPr>
          <w:rFonts w:ascii="宋体" w:hAnsi="宋体" w:eastAsia="宋体" w:cs="宋体"/>
        </w:rPr>
      </w:pPr>
      <w:r>
        <w:rPr>
          <w:rFonts w:ascii="宋体" w:hAnsi="宋体" w:eastAsia="宋体" w:cs="宋体"/>
        </w:rPr>
        <w:drawing>
          <wp:inline distT="0" distB="0" distL="114300" distR="114300">
            <wp:extent cx="2978785" cy="2042160"/>
            <wp:effectExtent l="0" t="0" r="12065" b="15240"/>
            <wp:docPr id="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6"/>
                    <pic:cNvPicPr>
                      <a:picLocks noChangeAspect="1"/>
                    </pic:cNvPicPr>
                  </pic:nvPicPr>
                  <pic:blipFill>
                    <a:blip r:embed="rId14"/>
                    <a:stretch>
                      <a:fillRect/>
                    </a:stretch>
                  </pic:blipFill>
                  <pic:spPr>
                    <a:xfrm>
                      <a:off x="0" y="0"/>
                      <a:ext cx="2978785" cy="2042160"/>
                    </a:xfrm>
                    <a:prstGeom prst="rect">
                      <a:avLst/>
                    </a:prstGeom>
                    <a:noFill/>
                    <a:ln w="9525">
                      <a:noFill/>
                    </a:ln>
                  </pic:spPr>
                </pic:pic>
              </a:graphicData>
            </a:graphic>
          </wp:inline>
        </w:drawing>
      </w:r>
    </w:p>
    <w:p>
      <w:pPr>
        <w:rPr>
          <w:rFonts w:ascii="华文楷体" w:hAnsi="华文楷体" w:eastAsia="华文楷体" w:cs="华文楷体"/>
        </w:rPr>
      </w:pPr>
    </w:p>
    <w:p>
      <w:pPr>
        <w:rPr>
          <w:rFonts w:ascii="华文楷体" w:hAnsi="华文楷体" w:eastAsia="华文楷体" w:cs="华文楷体"/>
        </w:rPr>
      </w:pPr>
      <w:r>
        <w:rPr>
          <w:rFonts w:hint="eastAsia" w:ascii="华文楷体" w:hAnsi="华文楷体" w:eastAsia="华文楷体" w:cs="华文楷体"/>
        </w:rPr>
        <w:t>各位领导、各位嘉宾：</w:t>
      </w:r>
    </w:p>
    <w:p>
      <w:pPr>
        <w:rPr>
          <w:rFonts w:ascii="华文楷体" w:hAnsi="华文楷体" w:eastAsia="华文楷体" w:cs="华文楷体"/>
        </w:rPr>
      </w:pPr>
      <w:r>
        <w:rPr>
          <w:rFonts w:hint="eastAsia" w:ascii="华文楷体" w:hAnsi="华文楷体" w:eastAsia="华文楷体" w:cs="华文楷体"/>
        </w:rPr>
        <w:t xml:space="preserve">    今天非常高兴来参加清华大学老龄社会研究中心和社科院世界社保研究中心共同主办、中欧基金和中国劳动社会保障出版社承办的中国养老金精算报告的发布式。从这三四年协会研究养老金、帮助顶层设计部门做制度设计的情况来看，我们发现如果对数据没有非常清晰的测算，制度设计的结果往往会和我们的初衷相悖。因此我非常赞同汤晓莉局长讲到的如何用更科学的方法来提高决策的能力，这应该是大家要思考的或者说在未来的制度设计中要践行的方法。我们期待清华大学和社科院能够持续在方法论和技术上进行研究、提升，助力养老金制度的顶层设计。协会和基金行业，都将继续给予大力支持，共同来提升决策的科学性，用好这些方法。</w:t>
      </w:r>
    </w:p>
    <w:p>
      <w:pPr>
        <w:rPr>
          <w:rFonts w:ascii="华文楷体" w:hAnsi="华文楷体" w:eastAsia="华文楷体" w:cs="华文楷体"/>
        </w:rPr>
      </w:pPr>
      <w:r>
        <w:rPr>
          <w:rFonts w:hint="eastAsia" w:ascii="华文楷体" w:hAnsi="华文楷体" w:eastAsia="华文楷体" w:cs="华文楷体"/>
        </w:rPr>
        <w:t xml:space="preserve">    接下来跟大家汇报一下协会对养老金投资安全和收益的思考。我讲三个观点。</w:t>
      </w:r>
    </w:p>
    <w:p>
      <w:pPr>
        <w:rPr>
          <w:rFonts w:ascii="华文楷体" w:hAnsi="华文楷体" w:eastAsia="华文楷体" w:cs="华文楷体"/>
        </w:rPr>
      </w:pPr>
      <w:r>
        <w:rPr>
          <w:rFonts w:hint="eastAsia" w:ascii="华文楷体" w:hAnsi="华文楷体" w:eastAsia="华文楷体" w:cs="华文楷体"/>
        </w:rPr>
        <w:t xml:space="preserve">    第一，受托关系是保障养老金资金安全和透明的基本制度。</w:t>
      </w:r>
    </w:p>
    <w:p>
      <w:pPr>
        <w:rPr>
          <w:rFonts w:ascii="华文楷体" w:hAnsi="华文楷体" w:eastAsia="华文楷体" w:cs="华文楷体"/>
        </w:rPr>
      </w:pPr>
      <w:r>
        <w:rPr>
          <w:rFonts w:hint="eastAsia" w:ascii="华文楷体" w:hAnsi="华文楷体" w:eastAsia="华文楷体" w:cs="华文楷体"/>
        </w:rPr>
        <w:t xml:space="preserve">    最近大资管办法的征求意见基本结束了，大家也看到，办法朝着受托关系，朝着透明、打破刚兑、打破资金池、降杠杆的方向去规范大资管行业。总体来说延续了公募基金公开透明的制度设计去做，我们觉得这是非常可喜的。</w:t>
      </w:r>
    </w:p>
    <w:p>
      <w:pPr>
        <w:rPr>
          <w:rFonts w:ascii="华文楷体" w:hAnsi="华文楷体" w:eastAsia="华文楷体" w:cs="华文楷体"/>
        </w:rPr>
      </w:pPr>
      <w:r>
        <w:rPr>
          <w:rFonts w:hint="eastAsia" w:ascii="华文楷体" w:hAnsi="华文楷体" w:eastAsia="华文楷体" w:cs="华文楷体"/>
        </w:rPr>
        <w:t xml:space="preserve">    受托关系能保证养老基金资产的独立性，不进基金公司的资产负债表，不会受到管理人破产的影响，这样的特点是养老金安全的保障。公募基金管理人注册资本可能只有两三个亿，净资产可能最多十个亿，但实际上管了几千亿资产。就是这样的受托关系，保证投资管理人从开始管理时就摸不到钱，不会卷钱跑，所以这是一个非常好的制度设计。所以受托关系是一个保证养老金资金安全，保证养老金不会被挪走，也不会进到投资管理人资产负债表的基本制度保障。其次是公募基金的逐日盯市、每日估值制度，可以保证基金资产一目了然。大家的账户上有多少钱，投了多少，实际上是非常清晰的。在实践中，企业年金和职业年金均沿用了基金的估值方法。</w:t>
      </w:r>
    </w:p>
    <w:p>
      <w:pPr>
        <w:rPr>
          <w:rFonts w:ascii="华文楷体" w:hAnsi="华文楷体" w:eastAsia="华文楷体" w:cs="华文楷体"/>
        </w:rPr>
      </w:pPr>
      <w:r>
        <w:rPr>
          <w:rFonts w:hint="eastAsia" w:ascii="华文楷体" w:hAnsi="华文楷体" w:eastAsia="华文楷体" w:cs="华文楷体"/>
        </w:rPr>
        <w:t xml:space="preserve">    受托关系、托管安排和每日估值这三点均被基本养老基金、社会保障基金、企业年金和职业年金采用。这三点，是公募基金制度的核心，也是公募基金为什么能成为养老金投资管理主力军的重要原因。在第三支柱渐行渐近的时间点上，我们认为建立个人账户、沿用这三点制度安排非常重要。要让老百姓知道他自己存了多少钱，收益是多少，各项费用是多少，都要对老百姓交代的很清楚。要保证老百姓的钱跟投资管理人的钱分开，才能切实保证老百姓资金的安全。</w:t>
      </w:r>
    </w:p>
    <w:p>
      <w:pPr>
        <w:rPr>
          <w:rFonts w:ascii="华文楷体" w:hAnsi="华文楷体" w:eastAsia="华文楷体" w:cs="华文楷体"/>
        </w:rPr>
      </w:pPr>
      <w:r>
        <w:rPr>
          <w:rFonts w:hint="eastAsia" w:ascii="华文楷体" w:hAnsi="华文楷体" w:eastAsia="华文楷体" w:cs="华文楷体"/>
        </w:rPr>
        <w:t xml:space="preserve">    第二，通过资产配置和风险控制让养老金的投资更安全。</w:t>
      </w:r>
    </w:p>
    <w:p>
      <w:pPr>
        <w:rPr>
          <w:rFonts w:ascii="华文楷体" w:hAnsi="华文楷体" w:eastAsia="华文楷体" w:cs="华文楷体"/>
        </w:rPr>
      </w:pPr>
      <w:r>
        <w:rPr>
          <w:rFonts w:hint="eastAsia" w:ascii="华文楷体" w:hAnsi="华文楷体" w:eastAsia="华文楷体" w:cs="华文楷体"/>
        </w:rPr>
        <w:t xml:space="preserve">    养老金的投资目标是要保值增值，是为了保证退休生活质量不下降。这包括两个问题，一是本金亏损风险，二是投资收益不足的风险。所以如何平衡安全性和收益性之间的关系，是未来第三支柱个人账户安排中必须要考虑的问题。</w:t>
      </w:r>
    </w:p>
    <w:p>
      <w:pPr>
        <w:rPr>
          <w:rFonts w:ascii="华文楷体" w:hAnsi="华文楷体" w:eastAsia="华文楷体" w:cs="华文楷体"/>
        </w:rPr>
      </w:pPr>
      <w:r>
        <w:rPr>
          <w:rFonts w:hint="eastAsia" w:ascii="华文楷体" w:hAnsi="华文楷体" w:eastAsia="华文楷体" w:cs="华文楷体"/>
        </w:rPr>
        <w:t xml:space="preserve">    首先不能将安全性简单的理解为绝对保本。看似保本，实际上是在转嫁风险，可能引发系统性风险。我们看到金融工作会议也是要求打破刚性兑付。在我国养老金的现行制度里，也没有保本的字样。所以在设计个人养老产品时要避免强化保本的概念，保本保收益不可持续。在全球低利率的大环境下，全球投资收益都在下降，很多国家的固定给付型（DB）养老金难以维持，都在向固定缴费型（DC）、给予个人投资选择权的方向去发展。如果过分强调保本，建立第三支柱并没有真正降低国家的负担，出了亏损最后还是要国家买单。</w:t>
      </w:r>
    </w:p>
    <w:p>
      <w:pPr>
        <w:rPr>
          <w:rFonts w:ascii="华文楷体" w:hAnsi="华文楷体" w:eastAsia="华文楷体" w:cs="华文楷体"/>
        </w:rPr>
      </w:pPr>
      <w:r>
        <w:rPr>
          <w:rFonts w:hint="eastAsia" w:ascii="华文楷体" w:hAnsi="华文楷体" w:eastAsia="华文楷体" w:cs="华文楷体"/>
        </w:rPr>
        <w:t xml:space="preserve">    我们最近了解到，欧洲的TDF和美国的TDF不太一样，美国的TDF是按照各年龄段对应着不同的资产配置比例去设计的。欧洲的TDF是通过债务驱动型投资模型，用波动率来设计下滑曲线，让投资者获得一个相对稳定的投资回报。这个方法也有启发，促进我们去思考如何能在未来去创造出符合中国老百姓养老需求的产品，更好的做到收益和安全的平衡。</w:t>
      </w:r>
    </w:p>
    <w:p>
      <w:pPr>
        <w:rPr>
          <w:rFonts w:ascii="华文楷体" w:hAnsi="华文楷体" w:eastAsia="华文楷体" w:cs="华文楷体"/>
        </w:rPr>
      </w:pPr>
      <w:r>
        <w:rPr>
          <w:rFonts w:hint="eastAsia" w:ascii="华文楷体" w:hAnsi="华文楷体" w:eastAsia="华文楷体" w:cs="华文楷体"/>
        </w:rPr>
        <w:t xml:space="preserve">    其次是投资收益不足的风险，防止人活着、钱没了。保本保收益和银行存款没有太大区别，我们把养老的钱单独拿出来做投资，是为了实现资产的长期的增值保值。在投资的方法上制定严格的投资纪律，在市场低迷的时候买入，实践证明获得了很好的投资收益。美国2008年金融危机的时候资产价格大幅缩水，投资者的养老账户大面积浮亏，政府担心百姓到退休的时候拿不到多少钱，提出来让政府来接管。后来事实证明政府多虑了，因为在市场低迷的时候，投资者持续定投，由于资产大跌，相同的资金买到了更多的基金份额。美国的市场后来回到历史的高点，此时在最低点买到这一部分基金份额，它的收益已经远大于在市场下跌时带来的浮亏。这就是长期投资和复利的魅力，只有坚持跨周期的长期投资，坚持配置权益资产，才能带来更多的收益。包括我们看到荷兰的养老金，当时在2008年金融危机的时候按照投资的规律和资产配置的要求，在低的时候反而是买了很多股票，后来荷兰养老金也得到很好的收益。</w:t>
      </w:r>
    </w:p>
    <w:p>
      <w:pPr>
        <w:rPr>
          <w:rFonts w:ascii="华文楷体" w:hAnsi="华文楷体" w:eastAsia="华文楷体" w:cs="华文楷体"/>
        </w:rPr>
      </w:pPr>
      <w:r>
        <w:rPr>
          <w:rFonts w:hint="eastAsia" w:ascii="华文楷体" w:hAnsi="华文楷体" w:eastAsia="华文楷体" w:cs="华文楷体"/>
        </w:rPr>
        <w:t xml:space="preserve">    第三，养老金事关国计民生，养老金安全应从国家战略的高度统筹考虑。所以我们要重视精算的作用，测算好一二三支柱之间应该如何去平衡发展，而不仅限于考虑第三支柱要怎么发展，要顾及到国家的负担。我赞同胡晓义会长的观点，未来可以有一个国家层级的精算机构，同时考虑到各省、各地人口结构和老龄化的程度。整个东北地区人口是流出的，而年轻人都涌入深圳去工作，所以深圳储蓄率和整体的基本养老金结余是在全国最好的。这种情况下如何做好精算，做一个合理的顶层制度安排，我们期待学者能在顶层设计方面做好更多的支持。</w:t>
      </w:r>
    </w:p>
    <w:p>
      <w:pPr>
        <w:rPr>
          <w:rFonts w:ascii="华文楷体" w:hAnsi="华文楷体" w:eastAsia="华文楷体" w:cs="华文楷体"/>
        </w:rPr>
      </w:pPr>
      <w:r>
        <w:rPr>
          <w:rFonts w:hint="eastAsia" w:ascii="华文楷体" w:hAnsi="华文楷体" w:eastAsia="华文楷体" w:cs="华文楷体"/>
        </w:rPr>
        <w:t xml:space="preserve">    所以我们也期待将来，包括行业也能跟清华大学和郑老师他们能有更多的合作，出更多的精品，有质量的研究报告，能够给决策部门提供更有益的参考，谢谢大家！</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华文楷体" w:hAnsi="华文楷体" w:eastAsia="华文楷体" w:cs="华文楷体"/>
        </w:rPr>
      </w:pPr>
    </w:p>
    <w:p>
      <w:pPr>
        <w:jc w:val="center"/>
        <w:rPr>
          <w:rFonts w:ascii="华文宋体" w:hAnsi="华文宋体" w:eastAsia="华文宋体" w:cs="华文宋体"/>
          <w:b/>
          <w:bCs/>
        </w:rPr>
      </w:pPr>
      <w:bookmarkStart w:id="22" w:name="关于融资融券标的证券2017年第四季度定期调整有关事项的通知"/>
      <w:r>
        <w:rPr>
          <w:rFonts w:hint="eastAsia" w:ascii="华文宋体" w:hAnsi="华文宋体" w:eastAsia="华文宋体" w:cs="华文宋体"/>
          <w:b/>
          <w:bCs/>
        </w:rPr>
        <w:t>关于融资融券标的证券2017年第四季度定期调整有关事项的通知</w:t>
      </w:r>
      <w:bookmarkEnd w:id="22"/>
    </w:p>
    <w:p>
      <w:pPr>
        <w:jc w:val="center"/>
        <w:rPr>
          <w:rFonts w:hint="eastAsia" w:ascii="宋体" w:hAnsi="宋体" w:eastAsia="宋体" w:cs="宋体"/>
          <w:color w:val="000000"/>
          <w:kern w:val="2"/>
          <w:sz w:val="18"/>
          <w:szCs w:val="18"/>
          <w:shd w:val="clear" w:color="auto" w:fill="FFFFFF"/>
          <w:lang w:val="en-US" w:eastAsia="zh-CN" w:bidi="ar-SA"/>
        </w:rPr>
      </w:pPr>
      <w:r>
        <w:rPr>
          <w:rFonts w:hint="eastAsia" w:ascii="宋体" w:hAnsi="宋体" w:eastAsia="宋体" w:cs="宋体"/>
          <w:color w:val="000000"/>
          <w:kern w:val="2"/>
          <w:sz w:val="18"/>
          <w:szCs w:val="18"/>
          <w:shd w:val="clear" w:color="auto" w:fill="FFFFFF"/>
          <w:lang w:val="en-US" w:eastAsia="zh-CN" w:bidi="ar-SA"/>
        </w:rPr>
        <w:t>日期：2018年1月5日  来源：上海证券交易所</w:t>
      </w:r>
    </w:p>
    <w:p>
      <w:pPr>
        <w:jc w:val="center"/>
        <w:rPr>
          <w:rFonts w:hint="eastAsia" w:ascii="宋体" w:hAnsi="宋体" w:eastAsia="宋体" w:cs="宋体"/>
          <w:color w:val="000000"/>
          <w:kern w:val="2"/>
          <w:sz w:val="18"/>
          <w:szCs w:val="18"/>
          <w:shd w:val="clear" w:color="auto" w:fill="FFFFFF"/>
          <w:lang w:val="en-US" w:eastAsia="zh-CN" w:bidi="ar-SA"/>
        </w:rPr>
      </w:pPr>
    </w:p>
    <w:p>
      <w:pPr>
        <w:jc w:val="center"/>
        <w:rPr>
          <w:rFonts w:ascii="华文宋体" w:hAnsi="华文宋体" w:eastAsia="华文宋体" w:cs="华文宋体"/>
          <w:b/>
          <w:bCs/>
        </w:rPr>
      </w:pPr>
      <w:r>
        <w:rPr>
          <w:rFonts w:hint="eastAsia" w:ascii="华文宋体" w:hAnsi="华文宋体" w:eastAsia="华文宋体" w:cs="华文宋体"/>
          <w:b/>
          <w:bCs/>
        </w:rPr>
        <w:t>上证发〔2018〕1号</w:t>
      </w:r>
    </w:p>
    <w:p>
      <w:pPr>
        <w:rPr>
          <w:rFonts w:ascii="华文宋体" w:hAnsi="华文宋体" w:eastAsia="华文宋体" w:cs="华文宋体"/>
        </w:rPr>
      </w:pPr>
    </w:p>
    <w:p>
      <w:pPr>
        <w:rPr>
          <w:rFonts w:hint="eastAsia" w:ascii="华文楷体" w:hAnsi="华文楷体" w:eastAsia="华文楷体" w:cs="华文楷体"/>
        </w:rPr>
      </w:pPr>
      <w:r>
        <w:rPr>
          <w:rFonts w:hint="eastAsia" w:ascii="华文楷体" w:hAnsi="华文楷体" w:eastAsia="华文楷体" w:cs="华文楷体"/>
        </w:rPr>
        <w:t>各会员单位及其他市场参与人：</w:t>
      </w:r>
    </w:p>
    <w:p>
      <w:pPr>
        <w:rPr>
          <w:rFonts w:hint="eastAsia" w:ascii="华文楷体" w:hAnsi="华文楷体" w:eastAsia="华文楷体" w:cs="华文楷体"/>
        </w:rPr>
      </w:pPr>
    </w:p>
    <w:p>
      <w:pPr>
        <w:ind w:firstLine="480"/>
        <w:rPr>
          <w:rFonts w:ascii="华文楷体" w:hAnsi="华文楷体" w:eastAsia="华文楷体" w:cs="华文楷体"/>
        </w:rPr>
      </w:pPr>
      <w:r>
        <w:rPr>
          <w:rFonts w:hint="eastAsia" w:ascii="华文楷体" w:hAnsi="华文楷体" w:eastAsia="华文楷体" w:cs="华文楷体"/>
        </w:rPr>
        <w:t>为促进融资融券业务健康长远发展，优化标的证券结构，根据《上海证券交易所融资融券交易实施细则》（以下简称《实施细则》）的相关规定及融资融券标的证券（以下简称标的证券）定期评估调整机制，上海证券交易所（以下简称本所）于每季度末对标的证券进行评估并视情况实施调整。现将2017年第四季度定期调整的有关事项通知如下：</w:t>
      </w:r>
    </w:p>
    <w:p>
      <w:pPr>
        <w:ind w:firstLine="480"/>
        <w:rPr>
          <w:rFonts w:ascii="华文楷体" w:hAnsi="华文楷体" w:eastAsia="华文楷体" w:cs="华文楷体"/>
        </w:rPr>
      </w:pPr>
    </w:p>
    <w:p>
      <w:pPr>
        <w:rPr>
          <w:rFonts w:ascii="华文楷体" w:hAnsi="华文楷体" w:eastAsia="华文楷体" w:cs="华文楷体"/>
        </w:rPr>
      </w:pPr>
      <w:r>
        <w:rPr>
          <w:rFonts w:hint="eastAsia" w:ascii="华文楷体" w:hAnsi="华文楷体" w:eastAsia="华文楷体" w:cs="华文楷体"/>
        </w:rPr>
        <w:t>　　一、本次融资融券标的股票（以下简称标的股票）范围的调整以优先保留现有标的股票为基本原则，综合考虑市盈率、上市公司及市场情况等因素，对符合《实施细则》第二十四条规定的本所上市A股，按照加权评价指标从大到小排序选取新增标的股票，调整后本所标的股票数量为525只（具体名单见附件）。</w:t>
      </w:r>
    </w:p>
    <w:p>
      <w:pPr>
        <w:rPr>
          <w:rFonts w:ascii="华文楷体" w:hAnsi="华文楷体" w:eastAsia="华文楷体" w:cs="华文楷体"/>
        </w:rPr>
      </w:pPr>
    </w:p>
    <w:p>
      <w:pPr>
        <w:rPr>
          <w:rFonts w:ascii="华文楷体" w:hAnsi="华文楷体" w:eastAsia="华文楷体" w:cs="华文楷体"/>
        </w:rPr>
      </w:pPr>
      <w:r>
        <w:rPr>
          <w:rFonts w:hint="eastAsia" w:ascii="华文楷体" w:hAnsi="华文楷体" w:eastAsia="华文楷体" w:cs="华文楷体"/>
        </w:rPr>
        <w:t>　　加权评价指标的计算方式为：加权评价指标=2×（一定期间内该股票平均流通市值/一定期间内沪市A股平均流通市值）+（一定期间内该股票平均成交金额/一定期间内沪市A股平均成交金额）。</w:t>
      </w:r>
    </w:p>
    <w:p>
      <w:pPr>
        <w:rPr>
          <w:rFonts w:ascii="华文楷体" w:hAnsi="华文楷体" w:eastAsia="华文楷体" w:cs="华文楷体"/>
        </w:rPr>
      </w:pPr>
    </w:p>
    <w:p>
      <w:pPr>
        <w:rPr>
          <w:rFonts w:ascii="华文楷体" w:hAnsi="华文楷体" w:eastAsia="华文楷体" w:cs="华文楷体"/>
        </w:rPr>
      </w:pPr>
      <w:r>
        <w:rPr>
          <w:rFonts w:hint="eastAsia" w:ascii="华文楷体" w:hAnsi="华文楷体" w:eastAsia="华文楷体" w:cs="华文楷体"/>
        </w:rPr>
        <w:t>　　二、本次融资融券标的交易型开放式指数基金范围的调整依据《实施细则》第二十五条规定，并综合考虑基金类型等因素，调整后本所融资融券标的交易型开放式指数基金的数量为16只（具体名单见附件）。</w:t>
      </w:r>
    </w:p>
    <w:p>
      <w:pPr>
        <w:rPr>
          <w:rFonts w:ascii="华文楷体" w:hAnsi="华文楷体" w:eastAsia="华文楷体" w:cs="华文楷体"/>
        </w:rPr>
      </w:pPr>
    </w:p>
    <w:p>
      <w:pPr>
        <w:rPr>
          <w:rFonts w:ascii="华文楷体" w:hAnsi="华文楷体" w:eastAsia="华文楷体" w:cs="华文楷体"/>
        </w:rPr>
      </w:pPr>
      <w:r>
        <w:rPr>
          <w:rFonts w:hint="eastAsia" w:ascii="华文楷体" w:hAnsi="华文楷体" w:eastAsia="华文楷体" w:cs="华文楷体"/>
        </w:rPr>
        <w:t>　　三、各会员单位应高度重视，认真做好此次标的证券范围调整的相关业务和技术准备工作，保障此项工作顺利开展和安全运行。</w:t>
      </w:r>
    </w:p>
    <w:p>
      <w:pPr>
        <w:rPr>
          <w:rFonts w:ascii="华文楷体" w:hAnsi="华文楷体" w:eastAsia="华文楷体" w:cs="华文楷体"/>
        </w:rPr>
      </w:pPr>
    </w:p>
    <w:p>
      <w:pPr>
        <w:rPr>
          <w:rFonts w:ascii="华文楷体" w:hAnsi="华文楷体" w:eastAsia="华文楷体" w:cs="华文楷体"/>
        </w:rPr>
      </w:pPr>
      <w:r>
        <w:rPr>
          <w:rFonts w:hint="eastAsia" w:ascii="华文楷体" w:hAnsi="华文楷体" w:eastAsia="华文楷体" w:cs="华文楷体"/>
        </w:rPr>
        <w:t>　　四、各会员单位应进一步优化自身风险监控指标，根据上市公司财务指标、合规运营情况及市场交易情形等相关信息，加强对标的证券的风险识别及差异化管理，并采取相应的监控措施，严控融资融券业务风险，切实保护投资者利益。</w:t>
      </w:r>
    </w:p>
    <w:p>
      <w:pPr>
        <w:rPr>
          <w:rFonts w:ascii="华文楷体" w:hAnsi="华文楷体" w:eastAsia="华文楷体" w:cs="华文楷体"/>
        </w:rPr>
      </w:pPr>
    </w:p>
    <w:p>
      <w:pPr>
        <w:rPr>
          <w:rFonts w:ascii="华文楷体" w:hAnsi="华文楷体" w:eastAsia="华文楷体" w:cs="华文楷体"/>
        </w:rPr>
      </w:pPr>
      <w:r>
        <w:rPr>
          <w:rFonts w:hint="eastAsia" w:ascii="华文楷体" w:hAnsi="华文楷体" w:eastAsia="华文楷体" w:cs="华文楷体"/>
        </w:rPr>
        <w:t>　　五、本通知自2018年1月8日起施行。本所于2017年7月7日发布的《关于融资融券标的证券2017年第二季度定期调整有关事项的通知》（上证发〔2017〕39号）和2017年9月29日发布的《关于融资融券标的证券2017年第三季度定期调整有关事项的通知》（上证发〔2017〕59号）同时废止。</w:t>
      </w:r>
    </w:p>
    <w:p>
      <w:pPr>
        <w:rPr>
          <w:rFonts w:ascii="华文楷体" w:hAnsi="华文楷体" w:eastAsia="华文楷体" w:cs="华文楷体"/>
        </w:rPr>
      </w:pPr>
    </w:p>
    <w:p>
      <w:pPr>
        <w:rPr>
          <w:rFonts w:ascii="华文楷体" w:hAnsi="华文楷体" w:eastAsia="华文楷体" w:cs="华文楷体"/>
        </w:rPr>
      </w:pPr>
      <w:r>
        <w:rPr>
          <w:rFonts w:hint="eastAsia" w:ascii="华文楷体" w:hAnsi="华文楷体" w:eastAsia="华文楷体" w:cs="华文楷体"/>
        </w:rPr>
        <w:t>　　特此通知。</w:t>
      </w:r>
    </w:p>
    <w:p>
      <w:pPr>
        <w:rPr>
          <w:rFonts w:ascii="华文楷体" w:hAnsi="华文楷体" w:eastAsia="华文楷体" w:cs="华文楷体"/>
        </w:rPr>
      </w:pPr>
      <w:r>
        <w:rPr>
          <w:rFonts w:hint="eastAsia" w:ascii="华文楷体" w:hAnsi="华文楷体" w:eastAsia="华文楷体" w:cs="华文楷体"/>
        </w:rPr>
        <w:t xml:space="preserve"> </w:t>
      </w:r>
    </w:p>
    <w:p>
      <w:pPr>
        <w:rPr>
          <w:rFonts w:ascii="华文楷体" w:hAnsi="华文楷体" w:eastAsia="华文楷体" w:cs="华文楷体"/>
        </w:rPr>
      </w:pPr>
      <w:r>
        <w:rPr>
          <w:rFonts w:hint="eastAsia" w:ascii="华文楷体" w:hAnsi="华文楷体" w:eastAsia="华文楷体" w:cs="华文楷体"/>
        </w:rPr>
        <w:t>　　附件：融资融券标的证券名单</w:t>
      </w:r>
    </w:p>
    <w:p>
      <w:pPr>
        <w:rPr>
          <w:rFonts w:ascii="华文楷体" w:hAnsi="华文楷体" w:eastAsia="华文楷体" w:cs="华文楷体"/>
        </w:rPr>
      </w:pPr>
      <w:r>
        <w:rPr>
          <w:rFonts w:hint="eastAsia" w:ascii="华文楷体" w:hAnsi="华文楷体" w:eastAsia="华文楷体" w:cs="华文楷体"/>
        </w:rPr>
        <w:t xml:space="preserve"> </w:t>
      </w:r>
    </w:p>
    <w:p>
      <w:pPr>
        <w:rPr>
          <w:rFonts w:ascii="华文楷体" w:hAnsi="华文楷体" w:eastAsia="华文楷体" w:cs="华文楷体"/>
        </w:rPr>
      </w:pPr>
      <w:r>
        <w:rPr>
          <w:rFonts w:hint="eastAsia" w:ascii="华文楷体" w:hAnsi="华文楷体" w:eastAsia="华文楷体" w:cs="华文楷体"/>
        </w:rPr>
        <w:t>　　上海证券交易所</w:t>
      </w:r>
    </w:p>
    <w:p>
      <w:pPr>
        <w:ind w:firstLine="480"/>
        <w:rPr>
          <w:rFonts w:ascii="华文楷体" w:hAnsi="华文楷体" w:eastAsia="华文楷体" w:cs="华文楷体"/>
        </w:rPr>
      </w:pPr>
      <w:r>
        <w:rPr>
          <w:rFonts w:hint="eastAsia" w:ascii="华文楷体" w:hAnsi="华文楷体" w:eastAsia="华文楷体" w:cs="华文楷体"/>
        </w:rPr>
        <w:t>二○一八年一月五日</w:t>
      </w:r>
    </w:p>
    <w:p>
      <w:pPr>
        <w:rPr>
          <w:rFonts w:ascii="华文宋体" w:hAnsi="华文宋体" w:eastAsia="华文宋体" w:cs="华文宋体"/>
          <w:b/>
          <w:bCs/>
        </w:rPr>
      </w:pPr>
    </w:p>
    <w:sectPr>
      <w:footerReference r:id="rId4" w:type="default"/>
      <w:pgSz w:w="11900" w:h="16840"/>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1.05pt;width:5.5pt;mso-position-horizontal:center;mso-position-horizontal-relative:margin;mso-wrap-style:none;z-index:251661312;mso-width-relative:page;mso-height-relative:page;" filled="f" stroked="f" coordsize="21600,21600" o:gfxdata="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6v5UDQAAAAAwEAAA8AAAAAAAAAAQAgAAAAIgAA&#10;AGRycy9kb3ducmV2LnhtbFBLAQIUABQAAAAIAIdO4kBLePx5EAIAAAYEAAAOAAAAAAAAAAEAIAAA&#10;AB8BAABkcnMvZTJvRG9jLnhtbFBLBQYAAAAABgAGAFkBAAChBQ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81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val="1"/>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5172D"/>
    <w:rsid w:val="0002592B"/>
    <w:rsid w:val="00032EED"/>
    <w:rsid w:val="000D669C"/>
    <w:rsid w:val="001B1684"/>
    <w:rsid w:val="002A585F"/>
    <w:rsid w:val="00396FE7"/>
    <w:rsid w:val="003C7D58"/>
    <w:rsid w:val="003F468E"/>
    <w:rsid w:val="004B4FCA"/>
    <w:rsid w:val="0055172D"/>
    <w:rsid w:val="005D2BEF"/>
    <w:rsid w:val="005D5F6E"/>
    <w:rsid w:val="006616D0"/>
    <w:rsid w:val="007D749F"/>
    <w:rsid w:val="008B0DEC"/>
    <w:rsid w:val="00900540"/>
    <w:rsid w:val="00A60284"/>
    <w:rsid w:val="00A75CCD"/>
    <w:rsid w:val="00A93294"/>
    <w:rsid w:val="00AC5616"/>
    <w:rsid w:val="00B9546B"/>
    <w:rsid w:val="00BC1141"/>
    <w:rsid w:val="00BC7FEF"/>
    <w:rsid w:val="00C3715E"/>
    <w:rsid w:val="00D440CB"/>
    <w:rsid w:val="00EA7389"/>
    <w:rsid w:val="00EC174E"/>
    <w:rsid w:val="00F45B39"/>
    <w:rsid w:val="00F92A01"/>
    <w:rsid w:val="01164ED9"/>
    <w:rsid w:val="015376AA"/>
    <w:rsid w:val="04DC1637"/>
    <w:rsid w:val="06470FDE"/>
    <w:rsid w:val="09702597"/>
    <w:rsid w:val="09BA45F6"/>
    <w:rsid w:val="0AE913B0"/>
    <w:rsid w:val="0BCD4FE3"/>
    <w:rsid w:val="0CFB696A"/>
    <w:rsid w:val="0DBB1E38"/>
    <w:rsid w:val="0F3E764A"/>
    <w:rsid w:val="0F516FA1"/>
    <w:rsid w:val="0F833201"/>
    <w:rsid w:val="135131F1"/>
    <w:rsid w:val="17883F84"/>
    <w:rsid w:val="18313C19"/>
    <w:rsid w:val="183353A2"/>
    <w:rsid w:val="186F5CB5"/>
    <w:rsid w:val="193B7774"/>
    <w:rsid w:val="1ADF5760"/>
    <w:rsid w:val="1B6C469F"/>
    <w:rsid w:val="1C2330CE"/>
    <w:rsid w:val="1CB129DC"/>
    <w:rsid w:val="1EC1132A"/>
    <w:rsid w:val="1EE743A6"/>
    <w:rsid w:val="1FC14810"/>
    <w:rsid w:val="1FF5632C"/>
    <w:rsid w:val="210F0267"/>
    <w:rsid w:val="219F61A1"/>
    <w:rsid w:val="252D4796"/>
    <w:rsid w:val="2562078E"/>
    <w:rsid w:val="262E3E46"/>
    <w:rsid w:val="28002F9D"/>
    <w:rsid w:val="29FD0447"/>
    <w:rsid w:val="2E01399A"/>
    <w:rsid w:val="306D26C5"/>
    <w:rsid w:val="31A07BB0"/>
    <w:rsid w:val="32D25728"/>
    <w:rsid w:val="3324250B"/>
    <w:rsid w:val="33F860F4"/>
    <w:rsid w:val="3592335B"/>
    <w:rsid w:val="39035719"/>
    <w:rsid w:val="3C1B28F7"/>
    <w:rsid w:val="3EEA074A"/>
    <w:rsid w:val="3FA1691E"/>
    <w:rsid w:val="420D2C6E"/>
    <w:rsid w:val="427D0F11"/>
    <w:rsid w:val="42F50670"/>
    <w:rsid w:val="434F3924"/>
    <w:rsid w:val="441E786C"/>
    <w:rsid w:val="44787167"/>
    <w:rsid w:val="464E7B76"/>
    <w:rsid w:val="4A8B0161"/>
    <w:rsid w:val="4B24063E"/>
    <w:rsid w:val="4B801319"/>
    <w:rsid w:val="4B877383"/>
    <w:rsid w:val="4F6A14E3"/>
    <w:rsid w:val="4F6F0A3C"/>
    <w:rsid w:val="53707DD9"/>
    <w:rsid w:val="5650469D"/>
    <w:rsid w:val="59181146"/>
    <w:rsid w:val="5AA20A1D"/>
    <w:rsid w:val="5D3611C4"/>
    <w:rsid w:val="5D7C7701"/>
    <w:rsid w:val="5DB60790"/>
    <w:rsid w:val="5DCB210F"/>
    <w:rsid w:val="60E445A7"/>
    <w:rsid w:val="63101095"/>
    <w:rsid w:val="633B2DBF"/>
    <w:rsid w:val="63FF44CD"/>
    <w:rsid w:val="66880D2F"/>
    <w:rsid w:val="68F2179A"/>
    <w:rsid w:val="698D141F"/>
    <w:rsid w:val="69BB7809"/>
    <w:rsid w:val="6C11491D"/>
    <w:rsid w:val="6C517B3D"/>
    <w:rsid w:val="6FF24D70"/>
    <w:rsid w:val="706A4C86"/>
    <w:rsid w:val="730D5259"/>
    <w:rsid w:val="74095274"/>
    <w:rsid w:val="740A15AD"/>
    <w:rsid w:val="76F92F96"/>
    <w:rsid w:val="7CFA50B8"/>
    <w:rsid w:val="7FBB00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9"/>
    <w:pPr>
      <w:jc w:val="left"/>
      <w:outlineLvl w:val="2"/>
    </w:pPr>
    <w:rPr>
      <w:rFonts w:hint="eastAsia" w:ascii="宋体" w:hAnsi="宋体" w:eastAsia="宋体" w:cs="Times New Roman"/>
      <w:b/>
      <w:kern w:val="0"/>
      <w:sz w:val="27"/>
      <w:szCs w:val="27"/>
    </w:rPr>
  </w:style>
  <w:style w:type="character" w:default="1" w:styleId="12">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Date"/>
    <w:basedOn w:val="1"/>
    <w:next w:val="1"/>
    <w:link w:val="18"/>
    <w:unhideWhenUsed/>
    <w:qFormat/>
    <w:uiPriority w:val="99"/>
    <w:pPr>
      <w:ind w:left="100" w:leftChars="2500"/>
    </w:pPr>
    <w:rPr>
      <w:b/>
      <w:sz w:val="48"/>
      <w:szCs w:val="48"/>
    </w:r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spacing w:beforeAutospacing="1" w:afterAutospacing="1"/>
      <w:jc w:val="left"/>
    </w:pPr>
    <w:rPr>
      <w:rFonts w:cs="Times New Roman"/>
      <w:kern w:val="0"/>
    </w:rPr>
  </w:style>
  <w:style w:type="character" w:styleId="13">
    <w:name w:val="Strong"/>
    <w:basedOn w:val="12"/>
    <w:qFormat/>
    <w:uiPriority w:val="22"/>
    <w:rPr>
      <w:b/>
    </w:rPr>
  </w:style>
  <w:style w:type="character" w:styleId="14">
    <w:name w:val="FollowedHyperlink"/>
    <w:basedOn w:val="12"/>
    <w:unhideWhenUsed/>
    <w:qFormat/>
    <w:uiPriority w:val="99"/>
    <w:rPr>
      <w:color w:val="005C81"/>
      <w:u w:val="none"/>
    </w:rPr>
  </w:style>
  <w:style w:type="character" w:styleId="15">
    <w:name w:val="Emphasis"/>
    <w:basedOn w:val="12"/>
    <w:qFormat/>
    <w:uiPriority w:val="20"/>
  </w:style>
  <w:style w:type="character" w:styleId="16">
    <w:name w:val="Hyperlink"/>
    <w:basedOn w:val="12"/>
    <w:unhideWhenUsed/>
    <w:qFormat/>
    <w:uiPriority w:val="99"/>
    <w:rPr>
      <w:color w:val="0000FF"/>
      <w:u w:val="single"/>
    </w:rPr>
  </w:style>
  <w:style w:type="character" w:customStyle="1" w:styleId="18">
    <w:name w:val="日期 Char"/>
    <w:basedOn w:val="12"/>
    <w:link w:val="6"/>
    <w:qFormat/>
    <w:uiPriority w:val="99"/>
    <w:rPr>
      <w:b/>
      <w:sz w:val="48"/>
      <w:szCs w:val="48"/>
    </w:rPr>
  </w:style>
  <w:style w:type="paragraph" w:styleId="19">
    <w:name w:val="List Paragraph"/>
    <w:basedOn w:val="1"/>
    <w:qFormat/>
    <w:uiPriority w:val="34"/>
    <w:pPr>
      <w:ind w:firstLine="420" w:firstLineChars="200"/>
    </w:pPr>
  </w:style>
  <w:style w:type="character" w:customStyle="1" w:styleId="20">
    <w:name w:val="ft_time"/>
    <w:basedOn w:val="12"/>
    <w:qFormat/>
    <w:uiPriority w:val="0"/>
    <w:rPr>
      <w:color w:val="888888"/>
    </w:rPr>
  </w:style>
  <w:style w:type="character" w:customStyle="1" w:styleId="21">
    <w:name w:val="disabled"/>
    <w:basedOn w:val="12"/>
    <w:qFormat/>
    <w:uiPriority w:val="0"/>
    <w:rPr>
      <w:color w:val="888888"/>
    </w:rPr>
  </w:style>
  <w:style w:type="character" w:customStyle="1" w:styleId="22">
    <w:name w:val="f-blue2-12"/>
    <w:basedOn w:val="12"/>
    <w:qFormat/>
    <w:uiPriority w:val="0"/>
  </w:style>
  <w:style w:type="character" w:customStyle="1" w:styleId="23">
    <w:name w:val="f-blue2-121"/>
    <w:basedOn w:val="12"/>
    <w:qFormat/>
    <w:uiPriority w:val="0"/>
  </w:style>
  <w:style w:type="paragraph" w:customStyle="1" w:styleId="24">
    <w:name w:val="tc"/>
    <w:basedOn w:val="1"/>
    <w:qFormat/>
    <w:uiPriority w:val="0"/>
    <w:pPr>
      <w:jc w:val="center"/>
    </w:pPr>
    <w:rPr>
      <w:rFonts w:cs="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www.amac.org.cn/upload/xhdt/zxdt/1514967252294.jpg" TargetMode="Externa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hyperlink" Target="http://www.amac.org.cn/upload/xhdt/zxdt/1514967317620.jpg" TargetMode="External"/><Relationship Id="rId11" Type="http://schemas.openxmlformats.org/officeDocument/2006/relationships/image" Target="media/image4.jpeg"/><Relationship Id="rId10" Type="http://schemas.openxmlformats.org/officeDocument/2006/relationships/hyperlink" Target="http://www.amac.org.cn/upload/xhdt/zxdt/1514967280468.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C8F7D8-5D06-4FE7-807A-4D5009523C9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7282</Words>
  <Characters>41510</Characters>
  <Lines>345</Lines>
  <Paragraphs>97</Paragraphs>
  <ScaleCrop>false</ScaleCrop>
  <LinksUpToDate>false</LinksUpToDate>
  <CharactersWithSpaces>48695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2018-01-11T07:42:00Z</dcterms:created>
  <dc:creator>air z</dc:creator>
  <cp:lastModifiedBy>Administrator</cp:lastModifiedBy>
  <dcterms:modified xsi:type="dcterms:W3CDTF">2018-01-12T09:25:10Z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